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59DA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PPZ-NKA-FSJ-23-014/2014</w:t>
      </w:r>
    </w:p>
    <w:p w14:paraId="558359DB" w14:textId="1EF841BC" w:rsidR="00746E28" w:rsidRPr="0010306F" w:rsidRDefault="00E74483" w:rsidP="001030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55835D44" wp14:editId="1C3B033F">
            <wp:simplePos x="0" y="0"/>
            <wp:positionH relativeFrom="column">
              <wp:posOffset>133350</wp:posOffset>
            </wp:positionH>
            <wp:positionV relativeFrom="paragraph">
              <wp:posOffset>402590</wp:posOffset>
            </wp:positionV>
            <wp:extent cx="5471160" cy="5695950"/>
            <wp:effectExtent l="0" t="0" r="0" b="0"/>
            <wp:wrapNone/>
            <wp:docPr id="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6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359DC" w14:textId="77777777" w:rsidR="00746E28" w:rsidRPr="0010306F" w:rsidRDefault="00746E28" w:rsidP="0010306F">
      <w:pPr>
        <w:tabs>
          <w:tab w:val="left" w:pos="6123"/>
        </w:tabs>
        <w:rPr>
          <w:rFonts w:ascii="Times New Roman" w:hAnsi="Times New Roman" w:cs="Times New Roman"/>
          <w:bCs/>
          <w:sz w:val="24"/>
          <w:szCs w:val="24"/>
        </w:rPr>
      </w:pPr>
    </w:p>
    <w:p w14:paraId="558359DD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DE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DF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E0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E1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E2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E3" w14:textId="77777777" w:rsidR="00746E28" w:rsidRPr="003273C2" w:rsidRDefault="00746E28" w:rsidP="00304641">
      <w:pPr>
        <w:ind w:firstLine="70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273C2">
        <w:rPr>
          <w:rFonts w:ascii="Times New Roman" w:hAnsi="Times New Roman" w:cs="Times New Roman"/>
          <w:b/>
          <w:bCs/>
          <w:sz w:val="52"/>
          <w:szCs w:val="52"/>
        </w:rPr>
        <w:t>Výročná správa</w:t>
      </w:r>
    </w:p>
    <w:p w14:paraId="558359E4" w14:textId="77777777" w:rsidR="00746E28" w:rsidRDefault="00746E28" w:rsidP="00304641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finančnej spravodajskej jednotky</w:t>
      </w:r>
    </w:p>
    <w:p w14:paraId="558359E5" w14:textId="77777777" w:rsidR="00746E28" w:rsidRPr="00380837" w:rsidRDefault="00746E28" w:rsidP="00304641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za </w:t>
      </w:r>
      <w:r w:rsidRPr="00380837">
        <w:rPr>
          <w:rFonts w:ascii="Times New Roman" w:hAnsi="Times New Roman" w:cs="Times New Roman"/>
          <w:b/>
          <w:bCs/>
          <w:sz w:val="40"/>
          <w:szCs w:val="40"/>
        </w:rPr>
        <w:t>2013</w:t>
      </w:r>
    </w:p>
    <w:p w14:paraId="558359E6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7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8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9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A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B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C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D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EE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EF" w14:textId="77777777" w:rsidR="00746E28" w:rsidRPr="0010306F" w:rsidRDefault="00746E28" w:rsidP="0010306F">
      <w:pPr>
        <w:rPr>
          <w:rFonts w:ascii="Times New Roman" w:hAnsi="Times New Roman" w:cs="Times New Roman"/>
          <w:bCs/>
          <w:sz w:val="24"/>
          <w:szCs w:val="24"/>
        </w:rPr>
      </w:pPr>
    </w:p>
    <w:p w14:paraId="558359F0" w14:textId="77777777" w:rsidR="00746E28" w:rsidRPr="00E12EA5" w:rsidRDefault="00746E28" w:rsidP="0010306F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EA5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Materiál predkladá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12EA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12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2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2E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2E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2EA5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Materiál obsahuje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58359F1" w14:textId="77777777" w:rsidR="00746E28" w:rsidRDefault="00746E28" w:rsidP="0010306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plk. Mgr. Ján Rapavý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informáciu o činnosti </w:t>
      </w:r>
    </w:p>
    <w:p w14:paraId="558359F2" w14:textId="77777777" w:rsidR="00746E28" w:rsidRDefault="00746E28" w:rsidP="0010306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riaditeľ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 výsledkoch FSJ</w:t>
      </w:r>
    </w:p>
    <w:p w14:paraId="558359F3" w14:textId="77777777" w:rsidR="00746E28" w:rsidRPr="0010306F" w:rsidRDefault="00746E28" w:rsidP="0010306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8359F4" w14:textId="77777777" w:rsidR="00746E28" w:rsidRPr="00625E69" w:rsidRDefault="00746E28" w:rsidP="00625E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E69">
        <w:rPr>
          <w:rFonts w:ascii="Times New Roman" w:hAnsi="Times New Roman" w:cs="Times New Roman"/>
          <w:b/>
          <w:bCs/>
          <w:sz w:val="28"/>
          <w:szCs w:val="28"/>
        </w:rPr>
        <w:lastRenderedPageBreak/>
        <w:t>Obsah</w:t>
      </w:r>
    </w:p>
    <w:p w14:paraId="558359F5" w14:textId="77777777" w:rsidR="00746E28" w:rsidRPr="0069769F" w:rsidRDefault="00746E28" w:rsidP="00625E69">
      <w:pPr>
        <w:rPr>
          <w:rFonts w:ascii="Times New Roman" w:hAnsi="Times New Roman" w:cs="Times New Roman"/>
          <w:bCs/>
          <w:sz w:val="24"/>
          <w:szCs w:val="24"/>
        </w:rPr>
      </w:pPr>
    </w:p>
    <w:p w14:paraId="558359F6" w14:textId="77777777" w:rsidR="00746E28" w:rsidRPr="00D1282E" w:rsidRDefault="00746E28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r w:rsidRPr="0069769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9769F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69769F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382141679" w:history="1">
        <w:r w:rsidRPr="0069769F">
          <w:rPr>
            <w:rStyle w:val="Hypertextovprepojenie"/>
            <w:rFonts w:ascii="Times New Roman" w:hAnsi="Times New Roman"/>
            <w:b/>
            <w:noProof/>
          </w:rPr>
          <w:t>Úvod</w:t>
        </w:r>
        <w:r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_Toc382141679 \h </w:instrText>
        </w:r>
        <w:r w:rsidRPr="0069769F">
          <w:rPr>
            <w:rFonts w:ascii="Times New Roman" w:hAnsi="Times New Roman" w:cs="Times New Roman"/>
            <w:b/>
            <w:noProof/>
            <w:webHidden/>
          </w:rPr>
        </w:r>
        <w:r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</w:rPr>
          <w:t>3</w:t>
        </w:r>
        <w:r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7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80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1. Čo je FSJ a čím sa riadi?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_Toc382141680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3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8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81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2. Neobvyklé obchodné operácie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_Toc382141681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4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9" w14:textId="77777777" w:rsidR="00746E28" w:rsidRPr="00D1282E" w:rsidRDefault="00E74483">
      <w:pPr>
        <w:pStyle w:val="Obsah2"/>
        <w:rPr>
          <w:rFonts w:ascii="Times New Roman" w:hAnsi="Times New Roman" w:cs="Times New Roman"/>
          <w:b/>
          <w:noProof/>
          <w:lang w:eastAsia="sk-SK"/>
        </w:rPr>
      </w:pPr>
      <w:hyperlink w:anchor="_Toc382141682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2.1 Zdržanie NOO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_Toc382141682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6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A" w14:textId="77777777" w:rsidR="00746E28" w:rsidRPr="00D1282E" w:rsidRDefault="00E74483">
      <w:pPr>
        <w:pStyle w:val="Obsah2"/>
        <w:rPr>
          <w:rFonts w:ascii="Times New Roman" w:hAnsi="Times New Roman" w:cs="Times New Roman"/>
          <w:b/>
          <w:noProof/>
          <w:lang w:eastAsia="sk-SK"/>
        </w:rPr>
      </w:pPr>
      <w:hyperlink w:anchor="_Toc382141683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2. 2 Typy zaznamenaných NOO a typológia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_Toc382141683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6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B" w14:textId="77777777" w:rsidR="00746E28" w:rsidRPr="00D1282E" w:rsidRDefault="00E74483">
      <w:pPr>
        <w:pStyle w:val="Obsah2"/>
        <w:rPr>
          <w:rFonts w:ascii="Times New Roman" w:hAnsi="Times New Roman" w:cs="Times New Roman"/>
          <w:b/>
          <w:noProof/>
          <w:lang w:eastAsia="sk-SK"/>
        </w:rPr>
      </w:pPr>
      <w:hyperlink w:anchor="_Toc382141684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2.3 Účinnosť hlásení o NOO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_Toc382141684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8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C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85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3. Kontrolná činnosť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_Toc382141685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12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D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86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4. Medzinárodná spolupráca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_Toc382141686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14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E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87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5. Finančné a majetkové preverovanie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_Toc382141687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17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9FF" w14:textId="77777777" w:rsidR="00746E28" w:rsidRPr="00D1282E" w:rsidRDefault="00E74483">
      <w:pPr>
        <w:pStyle w:val="Obsah2"/>
        <w:rPr>
          <w:rFonts w:ascii="Times New Roman" w:hAnsi="Times New Roman" w:cs="Times New Roman"/>
          <w:b/>
          <w:noProof/>
          <w:lang w:eastAsia="sk-SK"/>
        </w:rPr>
      </w:pPr>
      <w:hyperlink w:anchor="_Toc382141688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5.1 Identifikácia príjmov a majetku pochádzajúceho z trestnej činnosti (finančné preverovanie)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_Toc382141688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17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A00" w14:textId="77777777" w:rsidR="00746E28" w:rsidRPr="00D1282E" w:rsidRDefault="00E74483">
      <w:pPr>
        <w:pStyle w:val="Obsah2"/>
        <w:rPr>
          <w:rFonts w:ascii="Times New Roman" w:hAnsi="Times New Roman" w:cs="Times New Roman"/>
          <w:b/>
          <w:noProof/>
          <w:lang w:eastAsia="sk-SK"/>
        </w:rPr>
      </w:pPr>
      <w:hyperlink w:anchor="_Toc382141689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5.2 Preverovanie pôvodu majetku (majetkové preverovanie)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_Toc382141689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18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A01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90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6. Analytická činnosť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_Toc382141690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19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A02" w14:textId="77777777" w:rsidR="00746E28" w:rsidRPr="00D1282E" w:rsidRDefault="00E74483">
      <w:pPr>
        <w:pStyle w:val="Obsah2"/>
        <w:rPr>
          <w:rFonts w:ascii="Times New Roman" w:hAnsi="Times New Roman" w:cs="Times New Roman"/>
          <w:b/>
          <w:noProof/>
          <w:lang w:eastAsia="sk-SK"/>
        </w:rPr>
      </w:pPr>
      <w:hyperlink w:anchor="_Toc382141691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6.1 Preprava peňažných prostriedkov v hotovosti (Cezhraničné ohlasovanie)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_Toc382141691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20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A03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92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7. Prognózy do budúcich období v oblasti legalizácie a financovania terorizmu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_Toc382141692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22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A04" w14:textId="77777777" w:rsidR="00746E28" w:rsidRPr="00D1282E" w:rsidRDefault="00E74483">
      <w:pPr>
        <w:pStyle w:val="Obsah1"/>
        <w:tabs>
          <w:tab w:val="right" w:leader="dot" w:pos="9060"/>
        </w:tabs>
        <w:rPr>
          <w:rFonts w:ascii="Times New Roman" w:hAnsi="Times New Roman" w:cs="Times New Roman"/>
          <w:b/>
          <w:noProof/>
          <w:lang w:eastAsia="sk-SK"/>
        </w:rPr>
      </w:pPr>
      <w:hyperlink w:anchor="_Toc382141693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8. Zhodnotenie spolupráce s partnerskými subjektmi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_Toc382141693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23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A05" w14:textId="77777777" w:rsidR="00746E28" w:rsidRPr="00D1282E" w:rsidRDefault="00E74483" w:rsidP="0069769F">
      <w:pPr>
        <w:pStyle w:val="Obsah3"/>
        <w:tabs>
          <w:tab w:val="right" w:leader="dot" w:pos="9060"/>
        </w:tabs>
        <w:ind w:left="0"/>
        <w:rPr>
          <w:rFonts w:ascii="Times New Roman" w:hAnsi="Times New Roman" w:cs="Times New Roman"/>
          <w:b/>
          <w:noProof/>
          <w:lang w:eastAsia="sk-SK"/>
        </w:rPr>
      </w:pPr>
      <w:hyperlink w:anchor="_Toc382141694" w:history="1">
        <w:r w:rsidR="00746E28" w:rsidRPr="0069769F">
          <w:rPr>
            <w:rStyle w:val="Hypertextovprepojenie"/>
            <w:rFonts w:ascii="Times New Roman" w:hAnsi="Times New Roman"/>
            <w:b/>
            <w:noProof/>
          </w:rPr>
          <w:t>KONTAKTNÉ ÚDAJE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tab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instrText xml:space="preserve"> PAGEREF _Toc382141694 \h </w:instrTex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746E28">
          <w:rPr>
            <w:rFonts w:ascii="Times New Roman" w:hAnsi="Times New Roman" w:cs="Times New Roman"/>
            <w:b/>
            <w:noProof/>
            <w:webHidden/>
          </w:rPr>
          <w:t>24</w:t>
        </w:r>
        <w:r w:rsidR="00746E28" w:rsidRPr="0069769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5835A06" w14:textId="77777777" w:rsidR="00746E28" w:rsidRPr="0069769F" w:rsidRDefault="00746E28" w:rsidP="00625E69">
      <w:pPr>
        <w:rPr>
          <w:rFonts w:ascii="Times New Roman" w:hAnsi="Times New Roman" w:cs="Times New Roman"/>
          <w:sz w:val="24"/>
          <w:szCs w:val="24"/>
        </w:rPr>
      </w:pPr>
      <w:r w:rsidRPr="0069769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5835A07" w14:textId="77777777" w:rsidR="00746E28" w:rsidRPr="0069769F" w:rsidRDefault="00746E28" w:rsidP="00625E69">
      <w:pPr>
        <w:rPr>
          <w:rFonts w:ascii="Times New Roman" w:hAnsi="Times New Roman" w:cs="Times New Roman"/>
          <w:sz w:val="24"/>
          <w:szCs w:val="24"/>
        </w:rPr>
      </w:pPr>
    </w:p>
    <w:p w14:paraId="55835A08" w14:textId="77777777" w:rsidR="00746E28" w:rsidRPr="0069769F" w:rsidRDefault="00746E28" w:rsidP="00625E69">
      <w:pPr>
        <w:rPr>
          <w:rFonts w:ascii="Times New Roman" w:hAnsi="Times New Roman" w:cs="Times New Roman"/>
          <w:sz w:val="24"/>
          <w:szCs w:val="24"/>
        </w:rPr>
      </w:pPr>
    </w:p>
    <w:p w14:paraId="55835A09" w14:textId="77777777" w:rsidR="00746E28" w:rsidRPr="0069769F" w:rsidRDefault="00746E28" w:rsidP="00625E69">
      <w:pPr>
        <w:rPr>
          <w:rFonts w:ascii="Times New Roman" w:hAnsi="Times New Roman" w:cs="Times New Roman"/>
          <w:sz w:val="24"/>
          <w:szCs w:val="24"/>
        </w:rPr>
      </w:pPr>
    </w:p>
    <w:p w14:paraId="55835A0A" w14:textId="77777777" w:rsidR="00746E28" w:rsidRDefault="00746E28" w:rsidP="00625E69">
      <w:pPr>
        <w:rPr>
          <w:rFonts w:ascii="Times New Roman" w:hAnsi="Times New Roman" w:cs="Times New Roman"/>
          <w:sz w:val="24"/>
          <w:szCs w:val="24"/>
        </w:rPr>
      </w:pPr>
    </w:p>
    <w:p w14:paraId="55835A0B" w14:textId="77777777" w:rsidR="00746E28" w:rsidRPr="0069769F" w:rsidRDefault="00746E28" w:rsidP="00625E69">
      <w:pPr>
        <w:rPr>
          <w:rFonts w:ascii="Times New Roman" w:hAnsi="Times New Roman" w:cs="Times New Roman"/>
          <w:sz w:val="24"/>
          <w:szCs w:val="24"/>
        </w:rPr>
      </w:pPr>
    </w:p>
    <w:p w14:paraId="55835A0C" w14:textId="77777777" w:rsidR="00746E28" w:rsidRDefault="00746E28" w:rsidP="00625E69">
      <w:pPr>
        <w:rPr>
          <w:rFonts w:ascii="Times New Roman" w:hAnsi="Times New Roman" w:cs="Times New Roman"/>
          <w:sz w:val="24"/>
          <w:szCs w:val="24"/>
        </w:rPr>
      </w:pPr>
    </w:p>
    <w:p w14:paraId="55835A0D" w14:textId="77777777" w:rsidR="00746E28" w:rsidRDefault="00746E28" w:rsidP="00625E69">
      <w:pPr>
        <w:rPr>
          <w:rFonts w:ascii="Times New Roman" w:hAnsi="Times New Roman" w:cs="Times New Roman"/>
          <w:sz w:val="24"/>
          <w:szCs w:val="24"/>
        </w:rPr>
      </w:pPr>
    </w:p>
    <w:p w14:paraId="55835A0E" w14:textId="77777777" w:rsidR="00746E28" w:rsidRPr="00380837" w:rsidRDefault="00746E28" w:rsidP="00304641">
      <w:pPr>
        <w:pStyle w:val="Nadpis1"/>
        <w:ind w:firstLine="720"/>
        <w:rPr>
          <w:rFonts w:ascii="Times New Roman" w:hAnsi="Times New Roman"/>
          <w:sz w:val="28"/>
          <w:szCs w:val="28"/>
        </w:rPr>
      </w:pPr>
      <w:bookmarkStart w:id="1" w:name="_Toc382129830"/>
      <w:bookmarkStart w:id="2" w:name="_Toc382129992"/>
      <w:bookmarkStart w:id="3" w:name="_Toc382130523"/>
      <w:bookmarkStart w:id="4" w:name="_Toc382141482"/>
      <w:bookmarkStart w:id="5" w:name="_Toc382141679"/>
      <w:r w:rsidRPr="00380837">
        <w:rPr>
          <w:rFonts w:ascii="Times New Roman" w:hAnsi="Times New Roman"/>
          <w:sz w:val="28"/>
          <w:szCs w:val="28"/>
        </w:rPr>
        <w:lastRenderedPageBreak/>
        <w:t>Úvod</w:t>
      </w:r>
      <w:bookmarkEnd w:id="1"/>
      <w:bookmarkEnd w:id="2"/>
      <w:bookmarkEnd w:id="3"/>
      <w:bookmarkEnd w:id="4"/>
      <w:bookmarkEnd w:id="5"/>
    </w:p>
    <w:p w14:paraId="55835A0F" w14:textId="77777777" w:rsidR="00746E28" w:rsidRPr="00EF1186" w:rsidRDefault="00746E28" w:rsidP="005F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35A10" w14:textId="77777777" w:rsidR="00746E28" w:rsidRPr="004A5218" w:rsidRDefault="00746E28" w:rsidP="00EF11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18">
        <w:rPr>
          <w:rFonts w:ascii="Times New Roman" w:hAnsi="Times New Roman" w:cs="Times New Roman"/>
          <w:sz w:val="24"/>
          <w:szCs w:val="24"/>
        </w:rPr>
        <w:t>Vypracovaním výročnej správy a jej následný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5218">
        <w:rPr>
          <w:rFonts w:ascii="Times New Roman" w:hAnsi="Times New Roman" w:cs="Times New Roman"/>
          <w:sz w:val="24"/>
          <w:szCs w:val="24"/>
        </w:rPr>
        <w:t xml:space="preserve"> zverejnením finančná spravodajská jednotka národnej kriminálnej agentúry Prezídia Policajného zboru realizuje svoju zákonnú povinnosť vyplývajúcu z ustanovenia § 27 ods. 1 zákona č. 297/2008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5218">
        <w:rPr>
          <w:rFonts w:ascii="Times New Roman" w:hAnsi="Times New Roman" w:cs="Times New Roman"/>
          <w:sz w:val="24"/>
          <w:szCs w:val="24"/>
        </w:rPr>
        <w:t>z. o ochrane pred legalizáciou príjmov z trestnej činnosti a o ochrane pred financovaním terorizmu a o zmene a doplnení niektorých zákonov v znení neskorších predpisov. Označené ustanovenie zároveň determinuje minimálny štandard kritérií, ktoré má správa obsahovať.</w:t>
      </w:r>
    </w:p>
    <w:p w14:paraId="55835A11" w14:textId="77777777" w:rsidR="00746E28" w:rsidRPr="004A5218" w:rsidRDefault="00746E28" w:rsidP="00EF11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18">
        <w:rPr>
          <w:rFonts w:ascii="Times New Roman" w:hAnsi="Times New Roman" w:cs="Times New Roman"/>
          <w:sz w:val="24"/>
          <w:szCs w:val="24"/>
        </w:rPr>
        <w:t xml:space="preserve">Cieľom predkladanej výročnej správy však nie iba splnenie zákonnej povinnosti, ale záujem finančnej spravodajskej jednotky minimálne raz ročne komplexne a podrobne zhodnotiť úroveň plnenia úloh v záujme jej ďalšieho napredovania </w:t>
      </w:r>
      <w:r>
        <w:rPr>
          <w:rFonts w:ascii="Times New Roman" w:hAnsi="Times New Roman" w:cs="Times New Roman"/>
          <w:sz w:val="24"/>
          <w:szCs w:val="24"/>
        </w:rPr>
        <w:t xml:space="preserve">predovšetkým v oblasti </w:t>
      </w:r>
      <w:r w:rsidRPr="004A5218">
        <w:rPr>
          <w:rFonts w:ascii="Times New Roman" w:hAnsi="Times New Roman" w:cs="Times New Roman"/>
          <w:sz w:val="24"/>
          <w:szCs w:val="24"/>
        </w:rPr>
        <w:t>boja proti praniu špinavých peňazí a financovania terorizmu.</w:t>
      </w:r>
    </w:p>
    <w:p w14:paraId="55835A12" w14:textId="77777777" w:rsidR="00746E28" w:rsidRPr="004A5218" w:rsidRDefault="00746E28" w:rsidP="00EF11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18">
        <w:rPr>
          <w:rFonts w:ascii="Times New Roman" w:hAnsi="Times New Roman" w:cs="Times New Roman"/>
          <w:sz w:val="24"/>
          <w:szCs w:val="24"/>
        </w:rPr>
        <w:t>Výsledky práce finančnej spravodajskej jednotky zhrnuté vo výročnej správe hovoria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5218">
        <w:rPr>
          <w:rFonts w:ascii="Times New Roman" w:hAnsi="Times New Roman" w:cs="Times New Roman"/>
          <w:sz w:val="24"/>
          <w:szCs w:val="24"/>
        </w:rPr>
        <w:t>úspešných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218">
        <w:rPr>
          <w:rFonts w:ascii="Times New Roman" w:hAnsi="Times New Roman" w:cs="Times New Roman"/>
          <w:sz w:val="24"/>
          <w:szCs w:val="24"/>
        </w:rPr>
        <w:t xml:space="preserve"> ale aj menej úspešných aktivitách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5218">
        <w:rPr>
          <w:rFonts w:ascii="Times New Roman" w:hAnsi="Times New Roman" w:cs="Times New Roman"/>
          <w:sz w:val="24"/>
          <w:szCs w:val="24"/>
        </w:rPr>
        <w:t>činnostiach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4A5218">
        <w:rPr>
          <w:rFonts w:ascii="Times New Roman" w:hAnsi="Times New Roman" w:cs="Times New Roman"/>
          <w:sz w:val="24"/>
          <w:szCs w:val="24"/>
        </w:rPr>
        <w:t>ároveň si však treba uvedomiť a zohľadniť, že finančná spravodajská jednotka plní aj ďalšie úlohy a vykonáva činnosti, ktoré sa štatisticky nevykazujú. Predovšetkým ide o činnosti smerujúce k tomu, aby postavenie finančnej spravodajskej jednotky, ako ústrednej jednotky v systéme opatrení proti praniu špinavých peňazí a financovaniu terorizmu v Slovenskej republike zostalo aj naďalej reálne zachované.</w:t>
      </w:r>
    </w:p>
    <w:p w14:paraId="55835A13" w14:textId="77777777" w:rsidR="00746E28" w:rsidRPr="004A5218" w:rsidRDefault="00746E28" w:rsidP="00EF11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18">
        <w:rPr>
          <w:rFonts w:ascii="Times New Roman" w:hAnsi="Times New Roman" w:cs="Times New Roman"/>
          <w:sz w:val="24"/>
          <w:szCs w:val="24"/>
        </w:rPr>
        <w:t>Za dosiahnuté výsledky v roku 2013 je potrebné vysloviť slová vďaky všetkým, ktorí na nich</w:t>
      </w:r>
      <w:r>
        <w:rPr>
          <w:rFonts w:ascii="Times New Roman" w:hAnsi="Times New Roman" w:cs="Times New Roman"/>
          <w:sz w:val="24"/>
          <w:szCs w:val="24"/>
        </w:rPr>
        <w:t xml:space="preserve"> v akomkoľvek rozsahu</w:t>
      </w:r>
      <w:r w:rsidRPr="004A5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participovali.</w:t>
      </w:r>
    </w:p>
    <w:p w14:paraId="55835A14" w14:textId="77777777" w:rsidR="00746E28" w:rsidRDefault="00746E28" w:rsidP="00EF118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35A15" w14:textId="77777777" w:rsidR="00746E28" w:rsidRPr="00380837" w:rsidRDefault="00746E28" w:rsidP="00304641">
      <w:pPr>
        <w:pStyle w:val="Nadpis1"/>
        <w:ind w:firstLine="720"/>
        <w:rPr>
          <w:rFonts w:ascii="Times New Roman" w:hAnsi="Times New Roman"/>
          <w:sz w:val="28"/>
          <w:szCs w:val="28"/>
        </w:rPr>
      </w:pPr>
      <w:bookmarkStart w:id="6" w:name="_Toc382129831"/>
      <w:bookmarkStart w:id="7" w:name="_Toc382129993"/>
      <w:bookmarkStart w:id="8" w:name="_Toc382130524"/>
      <w:bookmarkStart w:id="9" w:name="_Toc382141483"/>
      <w:bookmarkStart w:id="10" w:name="_Toc382141680"/>
      <w:r w:rsidRPr="00380837">
        <w:rPr>
          <w:rFonts w:ascii="Times New Roman" w:hAnsi="Times New Roman"/>
          <w:sz w:val="28"/>
          <w:szCs w:val="28"/>
        </w:rPr>
        <w:t>1. Čo je FSJ a čím sa riadi?</w:t>
      </w:r>
      <w:bookmarkEnd w:id="6"/>
      <w:bookmarkEnd w:id="7"/>
      <w:bookmarkEnd w:id="8"/>
      <w:bookmarkEnd w:id="9"/>
      <w:bookmarkEnd w:id="10"/>
    </w:p>
    <w:p w14:paraId="55835A16" w14:textId="77777777" w:rsidR="00746E28" w:rsidRPr="00380837" w:rsidRDefault="00746E28" w:rsidP="005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5A17" w14:textId="77777777" w:rsidR="00746E28" w:rsidRPr="00F2794C" w:rsidRDefault="00746E28" w:rsidP="009843AC">
      <w:pPr>
        <w:pStyle w:val="Normlnywebov"/>
        <w:shd w:val="clear" w:color="auto" w:fill="FFFFFF"/>
        <w:spacing w:before="0" w:beforeAutospacing="0"/>
        <w:ind w:firstLineChars="295" w:firstLine="708"/>
        <w:jc w:val="both"/>
        <w:rPr>
          <w:rFonts w:ascii="Times New Roman" w:hAnsi="Times New Roman" w:cs="Times New Roman"/>
        </w:rPr>
      </w:pPr>
      <w:r w:rsidRPr="00F2794C">
        <w:rPr>
          <w:rFonts w:ascii="Times New Roman" w:hAnsi="Times New Roman" w:cs="Times New Roman"/>
        </w:rPr>
        <w:t>Finančná spravodajská jednotka národnej kriminálnej agentúry Prezídia Policajného zboru (</w:t>
      </w:r>
      <w:r>
        <w:rPr>
          <w:rFonts w:ascii="Times New Roman" w:hAnsi="Times New Roman" w:cs="Times New Roman"/>
        </w:rPr>
        <w:t>ďalej len „</w:t>
      </w:r>
      <w:r w:rsidRPr="00F2794C">
        <w:rPr>
          <w:rFonts w:ascii="Times New Roman" w:hAnsi="Times New Roman" w:cs="Times New Roman"/>
        </w:rPr>
        <w:t>FSJ</w:t>
      </w:r>
      <w:r>
        <w:rPr>
          <w:rFonts w:ascii="Times New Roman" w:hAnsi="Times New Roman" w:cs="Times New Roman"/>
        </w:rPr>
        <w:t>“</w:t>
      </w:r>
      <w:r w:rsidRPr="00F2794C">
        <w:rPr>
          <w:rFonts w:ascii="Times New Roman" w:hAnsi="Times New Roman" w:cs="Times New Roman"/>
        </w:rPr>
        <w:t xml:space="preserve">) je súčasťou celosvetovej siete finančných spravodajských jednotiek, ktorých </w:t>
      </w:r>
      <w:r w:rsidRPr="00F23E70">
        <w:rPr>
          <w:rFonts w:ascii="Times New Roman" w:hAnsi="Times New Roman" w:cs="Times New Roman"/>
        </w:rPr>
        <w:t>úlohou je uplatňovanie medzinárodných štandardov Finančn</w:t>
      </w:r>
      <w:r>
        <w:rPr>
          <w:rFonts w:ascii="Times New Roman" w:hAnsi="Times New Roman" w:cs="Times New Roman"/>
        </w:rPr>
        <w:t>ej</w:t>
      </w:r>
      <w:r w:rsidRPr="00F23E70">
        <w:rPr>
          <w:rFonts w:ascii="Times New Roman" w:hAnsi="Times New Roman" w:cs="Times New Roman"/>
        </w:rPr>
        <w:t xml:space="preserve"> akčn</w:t>
      </w:r>
      <w:r>
        <w:rPr>
          <w:rFonts w:ascii="Times New Roman" w:hAnsi="Times New Roman" w:cs="Times New Roman"/>
        </w:rPr>
        <w:t>ej</w:t>
      </w:r>
      <w:r w:rsidRPr="00F23E70">
        <w:rPr>
          <w:rFonts w:ascii="Times New Roman" w:hAnsi="Times New Roman" w:cs="Times New Roman"/>
        </w:rPr>
        <w:t xml:space="preserve"> skupin</w:t>
      </w:r>
      <w:r>
        <w:rPr>
          <w:rFonts w:ascii="Times New Roman" w:hAnsi="Times New Roman" w:cs="Times New Roman"/>
        </w:rPr>
        <w:t>y</w:t>
      </w:r>
      <w:r w:rsidRPr="00F23E70">
        <w:rPr>
          <w:rFonts w:ascii="Times New Roman" w:hAnsi="Times New Roman" w:cs="Times New Roman"/>
        </w:rPr>
        <w:t xml:space="preserve"> (ďalej len „FATF“) v oblasti boja proti praniu špinavých peňazí a financovania terorizmu.</w:t>
      </w:r>
    </w:p>
    <w:p w14:paraId="55835A18" w14:textId="77777777" w:rsidR="00746E28" w:rsidRPr="00F2794C" w:rsidRDefault="00746E28" w:rsidP="00E21E4D">
      <w:pPr>
        <w:pStyle w:val="Normlnywebov"/>
        <w:shd w:val="clear" w:color="auto" w:fill="FFFFFF"/>
        <w:ind w:firstLineChars="295" w:firstLine="708"/>
        <w:jc w:val="both"/>
        <w:rPr>
          <w:rFonts w:ascii="Times New Roman" w:hAnsi="Times New Roman" w:cs="Times New Roman"/>
        </w:rPr>
      </w:pPr>
      <w:r w:rsidRPr="00F2794C">
        <w:rPr>
          <w:rFonts w:ascii="Times New Roman" w:hAnsi="Times New Roman" w:cs="Times New Roman"/>
        </w:rPr>
        <w:t>Zákon č. 297/2008 Z.</w:t>
      </w:r>
      <w:r>
        <w:rPr>
          <w:rFonts w:ascii="Times New Roman" w:hAnsi="Times New Roman" w:cs="Times New Roman"/>
        </w:rPr>
        <w:t> </w:t>
      </w:r>
      <w:r w:rsidRPr="00F2794C">
        <w:rPr>
          <w:rFonts w:ascii="Times New Roman" w:hAnsi="Times New Roman" w:cs="Times New Roman"/>
        </w:rPr>
        <w:t>z. o ochrane pred legalizáciou príjmov z trestnej činnosti a o ochrane pred financovaním terorizmu a o zmene a doplnení niektorých zákonov v znení neskorších predpisov definuje FSJ ako národnú jednotku pre oblasť predchádzania a rozpoznávania prípadov prania špinavých peňazí a financovania terorizmu.</w:t>
      </w:r>
    </w:p>
    <w:p w14:paraId="55835A19" w14:textId="77777777" w:rsidR="00746E28" w:rsidRDefault="00746E28" w:rsidP="00A55298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 xml:space="preserve">FSJ sa vnútorne organizačne člení na päť oddelení: </w:t>
      </w:r>
    </w:p>
    <w:p w14:paraId="55835A1A" w14:textId="77777777" w:rsidR="00746E28" w:rsidRDefault="00746E28" w:rsidP="00C4671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>oddelenie n</w:t>
      </w:r>
      <w:r>
        <w:rPr>
          <w:rFonts w:ascii="Times New Roman" w:hAnsi="Times New Roman" w:cs="Times New Roman"/>
          <w:sz w:val="24"/>
          <w:szCs w:val="24"/>
        </w:rPr>
        <w:t>eobvyklých obchodných operácií,</w:t>
      </w:r>
    </w:p>
    <w:p w14:paraId="55835A1B" w14:textId="77777777" w:rsidR="00746E28" w:rsidRDefault="00746E28" w:rsidP="00C4671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>oddelenie kontroly povinných osôb,</w:t>
      </w:r>
    </w:p>
    <w:p w14:paraId="55835A1C" w14:textId="77777777" w:rsidR="00746E28" w:rsidRDefault="00746E28" w:rsidP="00C4671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>oddelenie preverovania majetku,</w:t>
      </w:r>
    </w:p>
    <w:p w14:paraId="55835A1D" w14:textId="77777777" w:rsidR="00746E28" w:rsidRDefault="00746E28" w:rsidP="00C4671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>oddelenie medzinárodnej spolupráce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835A1E" w14:textId="77777777" w:rsidR="00746E28" w:rsidRPr="00F2794C" w:rsidRDefault="00746E28" w:rsidP="00C4671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>analytické oddelenie.</w:t>
      </w:r>
    </w:p>
    <w:p w14:paraId="55835A1F" w14:textId="77777777" w:rsidR="00746E28" w:rsidRPr="004A5218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lastRenderedPageBreak/>
        <w:t>Legislatívny rámec činnosti FSJ je tvorený predovšetkým zákonom č. 297/2008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94C">
        <w:rPr>
          <w:rFonts w:ascii="Times New Roman" w:hAnsi="Times New Roman" w:cs="Times New Roman"/>
          <w:sz w:val="24"/>
          <w:szCs w:val="24"/>
        </w:rPr>
        <w:t>z. o ochrane pred legalizáciou príjmov z trestnej činnosti a o ochrane pred financovaním terorizmu a o zmene a doplnení niektorých zákonov v znení neskorších predpisov (ďalej len „zákon o ochrane pred legalizáciou“), zákonom Národnej rady Slovenskej republiky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94C">
        <w:rPr>
          <w:rFonts w:ascii="Times New Roman" w:hAnsi="Times New Roman" w:cs="Times New Roman"/>
          <w:sz w:val="24"/>
          <w:szCs w:val="24"/>
        </w:rPr>
        <w:t>171/1998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94C">
        <w:rPr>
          <w:rFonts w:ascii="Times New Roman" w:hAnsi="Times New Roman" w:cs="Times New Roman"/>
          <w:sz w:val="24"/>
          <w:szCs w:val="24"/>
        </w:rPr>
        <w:t xml:space="preserve">z. o Policajnom zbore v znení neskorších predpisov (ďalej len „zákon o PZ“), zákonom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F2794C">
        <w:rPr>
          <w:rFonts w:ascii="Times New Roman" w:hAnsi="Times New Roman" w:cs="Times New Roman"/>
          <w:sz w:val="24"/>
          <w:szCs w:val="24"/>
        </w:rPr>
        <w:t>101/2010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794C">
        <w:rPr>
          <w:rFonts w:ascii="Times New Roman" w:hAnsi="Times New Roman" w:cs="Times New Roman"/>
          <w:sz w:val="24"/>
          <w:szCs w:val="24"/>
        </w:rPr>
        <w:t>z. o preukazovaní pôvodu majetku (ďalej len „zákon o preukazovaní pôvodu majetku“), právnymi aktmi Európskej únie (rámcovým rozhodnutím Rady Európskej únie č. 2006/960/SVV o zjednodušení výmeny informácií a spravodajských informácií medzi orgánmi členských štátov Európskej únie činnými v trestnom konaní, rozhodnutím Rady Európskej únie č. 2007/845/SVV o spolupráci medzi úradmi pre vyhľadávanie majetku v členských štátoch pri vypátraní a identifikácii príjmov z trestnej činnosti alebo iného majetku</w:t>
      </w:r>
      <w:r w:rsidRPr="004A5218">
        <w:rPr>
          <w:rFonts w:ascii="Times New Roman" w:hAnsi="Times New Roman" w:cs="Times New Roman"/>
          <w:sz w:val="24"/>
          <w:szCs w:val="24"/>
        </w:rPr>
        <w:t xml:space="preserve"> súvisiaceho z trestnou činnosťou) a medzinárodnými zmluvami ku ktorým Slovenská republika pristúpila (najmä Viedenský dohovor, Varšavský dohovor a Palermský dohovor).</w:t>
      </w:r>
    </w:p>
    <w:p w14:paraId="55835A20" w14:textId="77777777" w:rsidR="00746E28" w:rsidRPr="00380837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21" w14:textId="77777777" w:rsidR="00746E28" w:rsidRPr="00380837" w:rsidRDefault="00746E28" w:rsidP="003273C2">
      <w:pPr>
        <w:pStyle w:val="Nadpis1"/>
        <w:ind w:firstLine="720"/>
        <w:rPr>
          <w:rFonts w:ascii="Times New Roman" w:hAnsi="Times New Roman"/>
          <w:sz w:val="28"/>
          <w:szCs w:val="28"/>
        </w:rPr>
      </w:pPr>
      <w:bookmarkStart w:id="11" w:name="_Toc382129832"/>
      <w:bookmarkStart w:id="12" w:name="_Toc382129994"/>
      <w:bookmarkStart w:id="13" w:name="_Toc382130525"/>
      <w:bookmarkStart w:id="14" w:name="_Toc382141484"/>
      <w:bookmarkStart w:id="15" w:name="_Toc382141681"/>
      <w:r w:rsidRPr="00380837">
        <w:rPr>
          <w:rFonts w:ascii="Times New Roman" w:hAnsi="Times New Roman"/>
          <w:sz w:val="28"/>
          <w:szCs w:val="28"/>
        </w:rPr>
        <w:t>2. Neobvyklé obchodné operácie</w:t>
      </w:r>
      <w:bookmarkEnd w:id="11"/>
      <w:bookmarkEnd w:id="12"/>
      <w:bookmarkEnd w:id="13"/>
      <w:bookmarkEnd w:id="14"/>
      <w:bookmarkEnd w:id="15"/>
    </w:p>
    <w:p w14:paraId="55835A22" w14:textId="77777777" w:rsidR="00746E28" w:rsidRPr="00380837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23" w14:textId="77777777" w:rsidR="00746E28" w:rsidRPr="008B352D" w:rsidRDefault="00746E28" w:rsidP="00FF2E7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FSJ je v</w:t>
      </w:r>
      <w:r w:rsidRPr="004A5218">
        <w:rPr>
          <w:rFonts w:ascii="Times New Roman" w:hAnsi="Times New Roman" w:cs="Times New Roman"/>
          <w:sz w:val="24"/>
          <w:szCs w:val="24"/>
        </w:rPr>
        <w:t>o svojej činnosti prioritne zameraná na prijímanie, evidovanie, analýzu, vyhodnocovanie a spracovávanie hlásení o neobvyklých obchodných operáciách (ďalej len „hlásenia o NOO“). Po vyhodnotení skutočností vyplývajúcich z hlásení, doplnených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5218">
        <w:rPr>
          <w:rFonts w:ascii="Times New Roman" w:hAnsi="Times New Roman" w:cs="Times New Roman"/>
          <w:sz w:val="24"/>
          <w:szCs w:val="24"/>
        </w:rPr>
        <w:t>vlastné zistenia sú informácie opätovne posudzované so zameraním sa na ich možnú subsumciu pod niektoré z ustanovení Trestného zákon</w:t>
      </w:r>
      <w:r w:rsidRPr="008B352D">
        <w:rPr>
          <w:rFonts w:ascii="Times New Roman" w:hAnsi="Times New Roman" w:cs="Times New Roman"/>
          <w:sz w:val="24"/>
          <w:szCs w:val="24"/>
        </w:rPr>
        <w:t>a, ich využiteľnosť v daňovom konaní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52D">
        <w:rPr>
          <w:rFonts w:ascii="Times New Roman" w:hAnsi="Times New Roman" w:cs="Times New Roman"/>
          <w:sz w:val="24"/>
          <w:szCs w:val="24"/>
        </w:rPr>
        <w:t xml:space="preserve"> prípadne na plnenie úloh partnerských finančných spravodajských jednotiek (ďalej len „FIU“) v zahraničí. V závislosti od uvedených okolností sú </w:t>
      </w:r>
      <w:r>
        <w:rPr>
          <w:rFonts w:ascii="Times New Roman" w:hAnsi="Times New Roman" w:cs="Times New Roman"/>
          <w:sz w:val="24"/>
          <w:szCs w:val="24"/>
        </w:rPr>
        <w:t xml:space="preserve">získané informácie </w:t>
      </w:r>
      <w:r w:rsidRPr="008B352D">
        <w:rPr>
          <w:rFonts w:ascii="Times New Roman" w:hAnsi="Times New Roman" w:cs="Times New Roman"/>
          <w:sz w:val="24"/>
          <w:szCs w:val="24"/>
        </w:rPr>
        <w:t>následn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352D">
        <w:rPr>
          <w:rFonts w:ascii="Times New Roman" w:hAnsi="Times New Roman" w:cs="Times New Roman"/>
          <w:sz w:val="24"/>
          <w:szCs w:val="24"/>
        </w:rPr>
        <w:t xml:space="preserve"> odstupované priamo vecne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352D">
        <w:rPr>
          <w:rFonts w:ascii="Times New Roman" w:hAnsi="Times New Roman" w:cs="Times New Roman"/>
          <w:sz w:val="24"/>
          <w:szCs w:val="24"/>
        </w:rPr>
        <w:t>miestne príslušnému orgánu činnému v trestnom konaní</w:t>
      </w:r>
      <w:r>
        <w:rPr>
          <w:rFonts w:ascii="Times New Roman" w:hAnsi="Times New Roman" w:cs="Times New Roman"/>
          <w:sz w:val="24"/>
          <w:szCs w:val="24"/>
        </w:rPr>
        <w:t xml:space="preserve"> (ďalej len „OČTK“)</w:t>
      </w:r>
      <w:r w:rsidRPr="008B352D">
        <w:rPr>
          <w:rFonts w:ascii="Times New Roman" w:hAnsi="Times New Roman" w:cs="Times New Roman"/>
          <w:sz w:val="24"/>
          <w:szCs w:val="24"/>
        </w:rPr>
        <w:t>, vecne a miestne príslušnému útvaru Policajného zboru na plnenie úloh podľa zákona o PZ, orgánom Finančnej správy Slovenskej republiky, zahraničným FIU.</w:t>
      </w:r>
      <w:r>
        <w:rPr>
          <w:rFonts w:ascii="Times New Roman" w:hAnsi="Times New Roman" w:cs="Times New Roman"/>
          <w:sz w:val="24"/>
          <w:szCs w:val="24"/>
        </w:rPr>
        <w:t xml:space="preserve"> Informácie, ktoré nebolo možné odstúpiť niektorému zo subjektov determinovaných ustanovením § 26 ods. 2</w:t>
      </w:r>
      <w:r w:rsidRPr="008B3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o </w:t>
      </w:r>
      <w:r w:rsidRPr="008B352D">
        <w:rPr>
          <w:rFonts w:ascii="Times New Roman" w:hAnsi="Times New Roman" w:cs="Times New Roman"/>
          <w:sz w:val="24"/>
          <w:szCs w:val="24"/>
        </w:rPr>
        <w:t>ochrane pred legalizáciou</w:t>
      </w:r>
      <w:r>
        <w:rPr>
          <w:rFonts w:ascii="Times New Roman" w:hAnsi="Times New Roman" w:cs="Times New Roman"/>
          <w:sz w:val="24"/>
          <w:szCs w:val="24"/>
        </w:rPr>
        <w:t xml:space="preserve"> sú vkladané do databázy pre prípadné ďalšie služobné využitie.</w:t>
      </w:r>
    </w:p>
    <w:p w14:paraId="55835A24" w14:textId="77777777" w:rsidR="00746E28" w:rsidRPr="00A55298" w:rsidRDefault="00746E28" w:rsidP="00EF11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98">
        <w:rPr>
          <w:rFonts w:ascii="Times New Roman" w:hAnsi="Times New Roman" w:cs="Times New Roman"/>
          <w:sz w:val="24"/>
          <w:szCs w:val="24"/>
        </w:rPr>
        <w:t xml:space="preserve">V hodnotenom období FSJ prijala </w:t>
      </w:r>
      <w:r w:rsidRPr="00A55298">
        <w:rPr>
          <w:rFonts w:ascii="Times New Roman" w:hAnsi="Times New Roman" w:cs="Times New Roman"/>
          <w:bCs/>
          <w:sz w:val="24"/>
          <w:szCs w:val="24"/>
        </w:rPr>
        <w:t>3886</w:t>
      </w:r>
      <w:r w:rsidRPr="00A55298">
        <w:rPr>
          <w:rFonts w:ascii="Times New Roman" w:hAnsi="Times New Roman" w:cs="Times New Roman"/>
          <w:sz w:val="24"/>
          <w:szCs w:val="24"/>
        </w:rPr>
        <w:t xml:space="preserve"> hlásení o NOO, ktoré je možné vzhľadom na charakter povinnej osoby štatisticky rozdeliť do troch skupín. Prvú skupinu tvoria hlásenia o NOO prijaté od bánk pôsobiacich na území SR vrátane Národnej banky Slovenska v celkovom počte </w:t>
      </w:r>
      <w:r w:rsidRPr="00A55298">
        <w:rPr>
          <w:rFonts w:ascii="Times New Roman" w:hAnsi="Times New Roman" w:cs="Times New Roman"/>
          <w:bCs/>
          <w:sz w:val="24"/>
          <w:szCs w:val="24"/>
        </w:rPr>
        <w:t>3416</w:t>
      </w:r>
      <w:r w:rsidRPr="00A55298">
        <w:rPr>
          <w:rFonts w:ascii="Times New Roman" w:hAnsi="Times New Roman" w:cs="Times New Roman"/>
          <w:sz w:val="24"/>
          <w:szCs w:val="24"/>
        </w:rPr>
        <w:t>.</w:t>
      </w:r>
      <w:r w:rsidRPr="00A55298">
        <w:rPr>
          <w:rFonts w:ascii="Times New Roman" w:hAnsi="Times New Roman" w:cs="Times New Roman"/>
          <w:color w:val="76923C"/>
          <w:sz w:val="24"/>
          <w:szCs w:val="24"/>
        </w:rPr>
        <w:t xml:space="preserve"> </w:t>
      </w:r>
      <w:r w:rsidRPr="00A55298">
        <w:rPr>
          <w:rFonts w:ascii="Times New Roman" w:hAnsi="Times New Roman" w:cs="Times New Roman"/>
          <w:sz w:val="24"/>
          <w:szCs w:val="24"/>
        </w:rPr>
        <w:t xml:space="preserve">Druhú skupinu tvoria hlásenia o NOO prijaté od ostatných finančných inštitúcií, ktorých bolo v roku 2013 prijatých spolu </w:t>
      </w:r>
      <w:r w:rsidRPr="00A55298">
        <w:rPr>
          <w:rFonts w:ascii="Times New Roman" w:hAnsi="Times New Roman" w:cs="Times New Roman"/>
          <w:bCs/>
          <w:sz w:val="24"/>
          <w:szCs w:val="24"/>
        </w:rPr>
        <w:t>314</w:t>
      </w:r>
      <w:r w:rsidRPr="00A55298">
        <w:rPr>
          <w:rFonts w:ascii="Times New Roman" w:hAnsi="Times New Roman" w:cs="Times New Roman"/>
          <w:sz w:val="24"/>
          <w:szCs w:val="24"/>
        </w:rPr>
        <w:t xml:space="preserve"> a do tretej boli zaradené hlásenia o NOO prijaté od nefinančných inštitúcií, ktorých bolo v roku 2013 prijatých </w:t>
      </w:r>
      <w:r w:rsidRPr="00A55298">
        <w:rPr>
          <w:rFonts w:ascii="Times New Roman" w:hAnsi="Times New Roman" w:cs="Times New Roman"/>
          <w:bCs/>
          <w:sz w:val="24"/>
          <w:szCs w:val="24"/>
        </w:rPr>
        <w:t>156</w:t>
      </w:r>
      <w:r w:rsidRPr="00A55298">
        <w:rPr>
          <w:rFonts w:ascii="Times New Roman" w:hAnsi="Times New Roman" w:cs="Times New Roman"/>
          <w:sz w:val="24"/>
          <w:szCs w:val="24"/>
        </w:rPr>
        <w:t>.</w:t>
      </w:r>
    </w:p>
    <w:p w14:paraId="55835A25" w14:textId="77777777" w:rsidR="00746E28" w:rsidRPr="007A3EA9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26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40D6">
        <w:rPr>
          <w:rFonts w:ascii="Times New Roman" w:hAnsi="Times New Roman" w:cs="Times New Roman"/>
          <w:sz w:val="20"/>
          <w:szCs w:val="20"/>
        </w:rPr>
        <w:t>Tabuľka č. 1: Počet prijatých hl</w:t>
      </w:r>
      <w:r>
        <w:rPr>
          <w:rFonts w:ascii="Times New Roman" w:hAnsi="Times New Roman" w:cs="Times New Roman"/>
          <w:sz w:val="20"/>
          <w:szCs w:val="20"/>
        </w:rPr>
        <w:t>ásení o NOO za rok 2013 od bánk</w:t>
      </w:r>
    </w:p>
    <w:p w14:paraId="55835A27" w14:textId="77777777" w:rsidR="00746E28" w:rsidRPr="00B26C9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606"/>
      </w:tblGrid>
      <w:tr w:rsidR="00746E28" w:rsidRPr="00257297" w14:paraId="55835A29" w14:textId="77777777" w:rsidTr="00A55298">
        <w:tc>
          <w:tcPr>
            <w:tcW w:w="9104" w:type="dxa"/>
            <w:gridSpan w:val="2"/>
          </w:tcPr>
          <w:p w14:paraId="55835A2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BANKY</w:t>
            </w:r>
          </w:p>
        </w:tc>
      </w:tr>
      <w:tr w:rsidR="00746E28" w:rsidRPr="00257297" w14:paraId="55835A2C" w14:textId="77777777" w:rsidTr="00A55298">
        <w:tc>
          <w:tcPr>
            <w:tcW w:w="4498" w:type="dxa"/>
          </w:tcPr>
          <w:p w14:paraId="55835A2A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POVINNÁ OSOBA</w:t>
            </w:r>
          </w:p>
        </w:tc>
        <w:tc>
          <w:tcPr>
            <w:tcW w:w="4606" w:type="dxa"/>
          </w:tcPr>
          <w:p w14:paraId="55835A2B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746E28" w:rsidRPr="00257297" w14:paraId="55835A2F" w14:textId="77777777" w:rsidTr="00A55298">
        <w:tc>
          <w:tcPr>
            <w:tcW w:w="4498" w:type="dxa"/>
          </w:tcPr>
          <w:p w14:paraId="55835A2D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4606" w:type="dxa"/>
          </w:tcPr>
          <w:p w14:paraId="55835A2E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46E28" w:rsidRPr="00257297" w14:paraId="55835A32" w14:textId="77777777" w:rsidTr="00A55298">
        <w:tc>
          <w:tcPr>
            <w:tcW w:w="4498" w:type="dxa"/>
          </w:tcPr>
          <w:p w14:paraId="55835A30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Banky pôsobiace na území SR</w:t>
            </w:r>
          </w:p>
        </w:tc>
        <w:tc>
          <w:tcPr>
            <w:tcW w:w="4606" w:type="dxa"/>
          </w:tcPr>
          <w:p w14:paraId="55835A31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</w:tr>
      <w:tr w:rsidR="00746E28" w:rsidRPr="00257297" w14:paraId="55835A35" w14:textId="77777777" w:rsidTr="00A55298">
        <w:tc>
          <w:tcPr>
            <w:tcW w:w="4498" w:type="dxa"/>
            <w:vAlign w:val="center"/>
          </w:tcPr>
          <w:p w14:paraId="55835A33" w14:textId="77777777" w:rsidR="00746E28" w:rsidRPr="00257297" w:rsidRDefault="00746E28" w:rsidP="00257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606" w:type="dxa"/>
            <w:vAlign w:val="center"/>
          </w:tcPr>
          <w:p w14:paraId="55835A34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3416</w:t>
            </w:r>
          </w:p>
        </w:tc>
      </w:tr>
    </w:tbl>
    <w:p w14:paraId="55835A36" w14:textId="77777777" w:rsidR="00746E28" w:rsidRPr="00C4671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37" w14:textId="77777777" w:rsidR="00746E28" w:rsidRPr="00C4671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38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40D6">
        <w:rPr>
          <w:rFonts w:ascii="Times New Roman" w:hAnsi="Times New Roman" w:cs="Times New Roman"/>
          <w:sz w:val="20"/>
          <w:szCs w:val="20"/>
        </w:rPr>
        <w:lastRenderedPageBreak/>
        <w:t>Tabuľka č. 2: Počet prijatých hlásení o NOO za rok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440D6">
        <w:rPr>
          <w:rFonts w:ascii="Times New Roman" w:hAnsi="Times New Roman" w:cs="Times New Roman"/>
          <w:sz w:val="20"/>
          <w:szCs w:val="20"/>
        </w:rPr>
        <w:t xml:space="preserve"> od </w:t>
      </w:r>
      <w:r>
        <w:rPr>
          <w:rFonts w:ascii="Times New Roman" w:hAnsi="Times New Roman" w:cs="Times New Roman"/>
          <w:sz w:val="20"/>
          <w:szCs w:val="20"/>
        </w:rPr>
        <w:t>ostatných finančných inštitúcií</w:t>
      </w:r>
    </w:p>
    <w:p w14:paraId="55835A39" w14:textId="77777777" w:rsidR="00746E28" w:rsidRPr="00B26C9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606"/>
      </w:tblGrid>
      <w:tr w:rsidR="00746E28" w:rsidRPr="00257297" w14:paraId="55835A3B" w14:textId="77777777" w:rsidTr="00A55298">
        <w:tc>
          <w:tcPr>
            <w:tcW w:w="9104" w:type="dxa"/>
            <w:gridSpan w:val="2"/>
          </w:tcPr>
          <w:p w14:paraId="55835A3A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 FINANČNÉ INŠTITÚCIE</w:t>
            </w:r>
          </w:p>
        </w:tc>
      </w:tr>
      <w:tr w:rsidR="00746E28" w:rsidRPr="00257297" w14:paraId="55835A3E" w14:textId="77777777" w:rsidTr="00A55298">
        <w:tc>
          <w:tcPr>
            <w:tcW w:w="4498" w:type="dxa"/>
          </w:tcPr>
          <w:p w14:paraId="55835A3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POVINNÁ OSOBA</w:t>
            </w:r>
          </w:p>
        </w:tc>
        <w:tc>
          <w:tcPr>
            <w:tcW w:w="4606" w:type="dxa"/>
          </w:tcPr>
          <w:p w14:paraId="55835A3D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746E28" w:rsidRPr="00257297" w14:paraId="55835A41" w14:textId="77777777" w:rsidTr="00A55298">
        <w:tc>
          <w:tcPr>
            <w:tcW w:w="4498" w:type="dxa"/>
          </w:tcPr>
          <w:p w14:paraId="55835A3F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Obchodník s cennými papiermi</w:t>
            </w:r>
          </w:p>
        </w:tc>
        <w:tc>
          <w:tcPr>
            <w:tcW w:w="4606" w:type="dxa"/>
          </w:tcPr>
          <w:p w14:paraId="55835A4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E28" w:rsidRPr="00257297" w14:paraId="55835A44" w14:textId="77777777" w:rsidTr="00A55298">
        <w:tc>
          <w:tcPr>
            <w:tcW w:w="4498" w:type="dxa"/>
          </w:tcPr>
          <w:p w14:paraId="55835A42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Investičné a správcovské spoločnosti</w:t>
            </w:r>
          </w:p>
        </w:tc>
        <w:tc>
          <w:tcPr>
            <w:tcW w:w="4606" w:type="dxa"/>
          </w:tcPr>
          <w:p w14:paraId="55835A43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46E28" w:rsidRPr="00257297" w14:paraId="55835A47" w14:textId="77777777" w:rsidTr="00A55298">
        <w:tc>
          <w:tcPr>
            <w:tcW w:w="4498" w:type="dxa"/>
          </w:tcPr>
          <w:p w14:paraId="55835A45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Poisťovňa</w:t>
            </w:r>
          </w:p>
        </w:tc>
        <w:tc>
          <w:tcPr>
            <w:tcW w:w="4606" w:type="dxa"/>
          </w:tcPr>
          <w:p w14:paraId="55835A46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46E28" w:rsidRPr="00257297" w14:paraId="55835A4A" w14:textId="77777777" w:rsidTr="00A55298">
        <w:tc>
          <w:tcPr>
            <w:tcW w:w="4498" w:type="dxa"/>
          </w:tcPr>
          <w:p w14:paraId="55835A48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Zmenáreň</w:t>
            </w:r>
          </w:p>
        </w:tc>
        <w:tc>
          <w:tcPr>
            <w:tcW w:w="4606" w:type="dxa"/>
          </w:tcPr>
          <w:p w14:paraId="55835A4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46E28" w:rsidRPr="00257297" w14:paraId="55835A4D" w14:textId="77777777" w:rsidTr="00A55298">
        <w:tc>
          <w:tcPr>
            <w:tcW w:w="4498" w:type="dxa"/>
            <w:vAlign w:val="center"/>
          </w:tcPr>
          <w:p w14:paraId="55835A4B" w14:textId="77777777" w:rsidR="00746E28" w:rsidRPr="00257297" w:rsidRDefault="00746E28" w:rsidP="00257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606" w:type="dxa"/>
            <w:vAlign w:val="center"/>
          </w:tcPr>
          <w:p w14:paraId="55835A4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</w:tr>
    </w:tbl>
    <w:p w14:paraId="55835A4E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4F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CD9">
        <w:rPr>
          <w:rFonts w:ascii="Times New Roman" w:hAnsi="Times New Roman" w:cs="Times New Roman"/>
          <w:sz w:val="20"/>
          <w:szCs w:val="20"/>
        </w:rPr>
        <w:t xml:space="preserve">Tabuľka č. 3: Počet prijatých hlásení o NOO za rok </w:t>
      </w:r>
      <w:r>
        <w:rPr>
          <w:rFonts w:ascii="Times New Roman" w:hAnsi="Times New Roman" w:cs="Times New Roman"/>
          <w:sz w:val="20"/>
          <w:szCs w:val="20"/>
        </w:rPr>
        <w:t>2013 od nefinančných inštitúcií</w:t>
      </w:r>
    </w:p>
    <w:p w14:paraId="55835A50" w14:textId="77777777" w:rsidR="00746E28" w:rsidRPr="00B26C9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606"/>
      </w:tblGrid>
      <w:tr w:rsidR="00746E28" w:rsidRPr="00257297" w14:paraId="55835A52" w14:textId="77777777" w:rsidTr="00A55298">
        <w:tc>
          <w:tcPr>
            <w:tcW w:w="9104" w:type="dxa"/>
            <w:gridSpan w:val="2"/>
          </w:tcPr>
          <w:p w14:paraId="55835A51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NEFINANČNÉ INŠTITÚCIE</w:t>
            </w:r>
          </w:p>
        </w:tc>
      </w:tr>
      <w:tr w:rsidR="00746E28" w:rsidRPr="00257297" w14:paraId="55835A55" w14:textId="77777777" w:rsidTr="00A55298">
        <w:tc>
          <w:tcPr>
            <w:tcW w:w="4498" w:type="dxa"/>
          </w:tcPr>
          <w:p w14:paraId="55835A53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POVINNÁ OSOBA</w:t>
            </w:r>
          </w:p>
        </w:tc>
        <w:tc>
          <w:tcPr>
            <w:tcW w:w="4606" w:type="dxa"/>
          </w:tcPr>
          <w:p w14:paraId="55835A54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</w:tr>
      <w:tr w:rsidR="00746E28" w:rsidRPr="00257297" w14:paraId="55835A58" w14:textId="77777777" w:rsidTr="00A55298">
        <w:tc>
          <w:tcPr>
            <w:tcW w:w="4498" w:type="dxa"/>
          </w:tcPr>
          <w:p w14:paraId="55835A56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Hazardné hry</w:t>
            </w:r>
          </w:p>
        </w:tc>
        <w:tc>
          <w:tcPr>
            <w:tcW w:w="4606" w:type="dxa"/>
          </w:tcPr>
          <w:p w14:paraId="55835A57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6E28" w:rsidRPr="00257297" w14:paraId="55835A5B" w14:textId="77777777" w:rsidTr="00A55298">
        <w:tc>
          <w:tcPr>
            <w:tcW w:w="4498" w:type="dxa"/>
          </w:tcPr>
          <w:p w14:paraId="55835A59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Poštový podnik</w:t>
            </w:r>
          </w:p>
        </w:tc>
        <w:tc>
          <w:tcPr>
            <w:tcW w:w="4606" w:type="dxa"/>
          </w:tcPr>
          <w:p w14:paraId="55835A5A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46E28" w:rsidRPr="00257297" w14:paraId="55835A5E" w14:textId="77777777" w:rsidTr="00A55298">
        <w:tc>
          <w:tcPr>
            <w:tcW w:w="4498" w:type="dxa"/>
          </w:tcPr>
          <w:p w14:paraId="55835A5C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Audítor</w:t>
            </w:r>
          </w:p>
        </w:tc>
        <w:tc>
          <w:tcPr>
            <w:tcW w:w="4606" w:type="dxa"/>
          </w:tcPr>
          <w:p w14:paraId="55835A5D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E28" w:rsidRPr="00257297" w14:paraId="55835A61" w14:textId="77777777" w:rsidTr="00A55298">
        <w:tc>
          <w:tcPr>
            <w:tcW w:w="4498" w:type="dxa"/>
          </w:tcPr>
          <w:p w14:paraId="55835A5F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Predaj, prenájom, kúpa nehnuteľností</w:t>
            </w:r>
          </w:p>
        </w:tc>
        <w:tc>
          <w:tcPr>
            <w:tcW w:w="4606" w:type="dxa"/>
          </w:tcPr>
          <w:p w14:paraId="55835A6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28" w:rsidRPr="00257297" w14:paraId="55835A64" w14:textId="77777777" w:rsidTr="00A55298">
        <w:tc>
          <w:tcPr>
            <w:tcW w:w="4498" w:type="dxa"/>
          </w:tcPr>
          <w:p w14:paraId="55835A62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Advokát, Notár</w:t>
            </w:r>
          </w:p>
        </w:tc>
        <w:tc>
          <w:tcPr>
            <w:tcW w:w="4606" w:type="dxa"/>
          </w:tcPr>
          <w:p w14:paraId="55835A63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6E28" w:rsidRPr="00257297" w14:paraId="55835A67" w14:textId="77777777" w:rsidTr="00A55298">
        <w:tc>
          <w:tcPr>
            <w:tcW w:w="4498" w:type="dxa"/>
          </w:tcPr>
          <w:p w14:paraId="55835A65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Ostatné</w:t>
            </w:r>
          </w:p>
        </w:tc>
        <w:tc>
          <w:tcPr>
            <w:tcW w:w="4606" w:type="dxa"/>
          </w:tcPr>
          <w:p w14:paraId="55835A66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E28" w:rsidRPr="00257297" w14:paraId="55835A6A" w14:textId="77777777" w:rsidTr="00A55298">
        <w:tc>
          <w:tcPr>
            <w:tcW w:w="4498" w:type="dxa"/>
            <w:vAlign w:val="center"/>
          </w:tcPr>
          <w:p w14:paraId="55835A68" w14:textId="77777777" w:rsidR="00746E28" w:rsidRPr="00257297" w:rsidRDefault="00746E28" w:rsidP="00257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606" w:type="dxa"/>
            <w:vAlign w:val="center"/>
          </w:tcPr>
          <w:p w14:paraId="55835A6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14:paraId="55835A6B" w14:textId="77777777" w:rsidR="00746E28" w:rsidRPr="00C4671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6C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691">
        <w:rPr>
          <w:rFonts w:ascii="Times New Roman" w:hAnsi="Times New Roman" w:cs="Times New Roman"/>
          <w:sz w:val="20"/>
          <w:szCs w:val="20"/>
        </w:rPr>
        <w:t xml:space="preserve">Graf č.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F6691">
        <w:rPr>
          <w:rFonts w:ascii="Times New Roman" w:hAnsi="Times New Roman" w:cs="Times New Roman"/>
          <w:sz w:val="20"/>
          <w:szCs w:val="20"/>
        </w:rPr>
        <w:t>: Dynamika vývoja prijatých NOO v rokoch 2009 – 201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5835A6D" w14:textId="77777777" w:rsidR="00746E28" w:rsidRPr="00B26C9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6E" w14:textId="4E72496B" w:rsidR="00746E28" w:rsidRDefault="00E74483" w:rsidP="007A3E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55835D45" wp14:editId="5EED3E0C">
            <wp:extent cx="5756910" cy="2934335"/>
            <wp:effectExtent l="0" t="0" r="0" b="0"/>
            <wp:docPr id="7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835A6F" w14:textId="77777777" w:rsidR="00746E28" w:rsidRPr="00377935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70" w14:textId="77777777" w:rsidR="00746E28" w:rsidRPr="00377935" w:rsidRDefault="00746E28" w:rsidP="0037793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A71" w14:textId="77777777" w:rsidR="00746E28" w:rsidRPr="00377935" w:rsidRDefault="00746E28" w:rsidP="0037793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A72" w14:textId="77777777" w:rsidR="00746E28" w:rsidRPr="00377935" w:rsidRDefault="00746E28" w:rsidP="0037793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A73" w14:textId="77777777" w:rsidR="00746E28" w:rsidRPr="003273C2" w:rsidRDefault="00746E28" w:rsidP="00380837">
      <w:pPr>
        <w:pStyle w:val="Nadpis2"/>
        <w:rPr>
          <w:rFonts w:ascii="Times New Roman" w:hAnsi="Times New Roman"/>
          <w:i w:val="0"/>
          <w:iCs w:val="0"/>
          <w:sz w:val="24"/>
          <w:szCs w:val="24"/>
        </w:rPr>
      </w:pPr>
      <w:bookmarkStart w:id="16" w:name="_Toc382129833"/>
      <w:bookmarkStart w:id="17" w:name="_Toc382129995"/>
      <w:bookmarkStart w:id="18" w:name="_Toc382130526"/>
      <w:bookmarkStart w:id="19" w:name="_Toc382141485"/>
      <w:bookmarkStart w:id="20" w:name="_Toc382141682"/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2.1 </w:t>
      </w:r>
      <w:r w:rsidRPr="003273C2">
        <w:rPr>
          <w:rFonts w:ascii="Times New Roman" w:hAnsi="Times New Roman"/>
          <w:i w:val="0"/>
          <w:iCs w:val="0"/>
          <w:sz w:val="24"/>
          <w:szCs w:val="24"/>
        </w:rPr>
        <w:t>Zdržanie NOO</w:t>
      </w:r>
      <w:bookmarkEnd w:id="16"/>
      <w:bookmarkEnd w:id="17"/>
      <w:bookmarkEnd w:id="18"/>
      <w:bookmarkEnd w:id="19"/>
      <w:bookmarkEnd w:id="20"/>
    </w:p>
    <w:p w14:paraId="55835A74" w14:textId="77777777" w:rsidR="00746E28" w:rsidRPr="007A3EA9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75" w14:textId="77777777" w:rsidR="00746E28" w:rsidRPr="00A55298" w:rsidRDefault="00746E28" w:rsidP="0098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98">
        <w:rPr>
          <w:rFonts w:ascii="Times New Roman" w:hAnsi="Times New Roman" w:cs="Times New Roman"/>
          <w:sz w:val="24"/>
          <w:szCs w:val="24"/>
        </w:rPr>
        <w:t xml:space="preserve">Významným oprávnením (v odôvodnených prípadoch pomerne často využívaným), ktoré zákon o ochrane pred legalizáciou FSJ priznáva, hodnoteným z pohľadu následného možného zaistenia finančných prostriedkov, pochádzajúcich z trestnej činnosti pre účely  trestného konania je inštitút zdržania NOO (§ 16). Vysoká účinnosť následného zaistenia finančných prostriedkov v trestnom konaní v nadväznosti na realizáciu uvedeného inštitútu spočíva v monitoringu a šetrení finančných transakcií takmer v reálnom čase. V roku 2013 bolo z počtu prijatých hlásení celkovo zdržaných </w:t>
      </w:r>
      <w:r w:rsidRPr="00A55298">
        <w:rPr>
          <w:rFonts w:ascii="Times New Roman" w:hAnsi="Times New Roman" w:cs="Times New Roman"/>
          <w:bCs/>
          <w:sz w:val="24"/>
          <w:szCs w:val="24"/>
        </w:rPr>
        <w:t>72</w:t>
      </w:r>
      <w:r w:rsidRPr="00A55298">
        <w:rPr>
          <w:rFonts w:ascii="Times New Roman" w:hAnsi="Times New Roman" w:cs="Times New Roman"/>
          <w:sz w:val="24"/>
          <w:szCs w:val="24"/>
        </w:rPr>
        <w:t xml:space="preserve"> NOO z celkovou hodnotou </w:t>
      </w:r>
      <w:r w:rsidRPr="00A55298">
        <w:rPr>
          <w:rFonts w:ascii="Times New Roman" w:hAnsi="Times New Roman" w:cs="Times New Roman"/>
          <w:bCs/>
          <w:sz w:val="24"/>
          <w:szCs w:val="24"/>
        </w:rPr>
        <w:t>17.743.422,- EUR</w:t>
      </w:r>
      <w:r w:rsidRPr="00A55298">
        <w:rPr>
          <w:rFonts w:ascii="Times New Roman" w:hAnsi="Times New Roman" w:cs="Times New Roman"/>
          <w:sz w:val="24"/>
          <w:szCs w:val="24"/>
        </w:rPr>
        <w:t>.</w:t>
      </w:r>
    </w:p>
    <w:p w14:paraId="55835A76" w14:textId="77777777" w:rsidR="00746E28" w:rsidRDefault="00746E28" w:rsidP="00FF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77" w14:textId="77777777" w:rsidR="00746E28" w:rsidRDefault="00746E28" w:rsidP="007A3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1F3C">
        <w:rPr>
          <w:rFonts w:ascii="Times New Roman" w:hAnsi="Times New Roman" w:cs="Times New Roman"/>
          <w:sz w:val="20"/>
          <w:szCs w:val="20"/>
        </w:rPr>
        <w:t>Tabuľka</w:t>
      </w:r>
      <w:r>
        <w:rPr>
          <w:rFonts w:ascii="Times New Roman" w:hAnsi="Times New Roman" w:cs="Times New Roman"/>
          <w:sz w:val="20"/>
          <w:szCs w:val="20"/>
        </w:rPr>
        <w:t xml:space="preserve"> č. 4</w:t>
      </w:r>
      <w:r w:rsidRPr="00EB48B4">
        <w:rPr>
          <w:rFonts w:ascii="Times New Roman" w:hAnsi="Times New Roman" w:cs="Times New Roman"/>
          <w:sz w:val="20"/>
          <w:szCs w:val="20"/>
        </w:rPr>
        <w:t>: Št</w:t>
      </w:r>
      <w:r>
        <w:rPr>
          <w:rFonts w:ascii="Times New Roman" w:hAnsi="Times New Roman" w:cs="Times New Roman"/>
          <w:sz w:val="20"/>
          <w:szCs w:val="20"/>
        </w:rPr>
        <w:t>atistický prehľad zdržaných NOO za rok 2013</w:t>
      </w:r>
    </w:p>
    <w:p w14:paraId="55835A78" w14:textId="77777777" w:rsidR="00746E28" w:rsidRPr="00B26C91" w:rsidRDefault="00746E28" w:rsidP="007A3E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606"/>
      </w:tblGrid>
      <w:tr w:rsidR="00746E28" w:rsidRPr="00257297" w14:paraId="55835A7B" w14:textId="77777777">
        <w:tc>
          <w:tcPr>
            <w:tcW w:w="4498" w:type="dxa"/>
          </w:tcPr>
          <w:p w14:paraId="55835A79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Celkový počet zdržaných NOO</w:t>
            </w:r>
          </w:p>
        </w:tc>
        <w:tc>
          <w:tcPr>
            <w:tcW w:w="4606" w:type="dxa"/>
          </w:tcPr>
          <w:p w14:paraId="55835A7A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6E28" w:rsidRPr="00257297" w14:paraId="55835A7E" w14:textId="77777777">
        <w:tc>
          <w:tcPr>
            <w:tcW w:w="4498" w:type="dxa"/>
          </w:tcPr>
          <w:p w14:paraId="55835A7C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Zdržanie NOO povinnou osobou</w:t>
            </w:r>
          </w:p>
        </w:tc>
        <w:tc>
          <w:tcPr>
            <w:tcW w:w="4606" w:type="dxa"/>
          </w:tcPr>
          <w:p w14:paraId="55835A7D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46E28" w:rsidRPr="00257297" w14:paraId="55835A81" w14:textId="77777777">
        <w:tc>
          <w:tcPr>
            <w:tcW w:w="4498" w:type="dxa"/>
          </w:tcPr>
          <w:p w14:paraId="55835A7F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Zdržanie NOO na žiadosť FSJ</w:t>
            </w:r>
          </w:p>
        </w:tc>
        <w:tc>
          <w:tcPr>
            <w:tcW w:w="4606" w:type="dxa"/>
          </w:tcPr>
          <w:p w14:paraId="55835A8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28" w:rsidRPr="00257297" w14:paraId="55835A84" w14:textId="77777777">
        <w:tc>
          <w:tcPr>
            <w:tcW w:w="4498" w:type="dxa"/>
          </w:tcPr>
          <w:p w14:paraId="55835A82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Odstúpenie zdržanej NOO vecne a miestne príslušnému OČTK</w:t>
            </w:r>
          </w:p>
        </w:tc>
        <w:tc>
          <w:tcPr>
            <w:tcW w:w="4606" w:type="dxa"/>
          </w:tcPr>
          <w:p w14:paraId="55835A83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6E28" w:rsidRPr="00257297" w14:paraId="55835A87" w14:textId="77777777">
        <w:tc>
          <w:tcPr>
            <w:tcW w:w="4498" w:type="dxa"/>
          </w:tcPr>
          <w:p w14:paraId="55835A85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Celková hodnota zdržaných NOO</w:t>
            </w:r>
          </w:p>
        </w:tc>
        <w:tc>
          <w:tcPr>
            <w:tcW w:w="4606" w:type="dxa"/>
          </w:tcPr>
          <w:p w14:paraId="55835A86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17.743.422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14:paraId="55835A88" w14:textId="77777777" w:rsidR="00746E28" w:rsidRPr="00F406E1" w:rsidRDefault="00746E28" w:rsidP="00F40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89" w14:textId="77777777" w:rsidR="00746E28" w:rsidRPr="003273C2" w:rsidRDefault="00746E28" w:rsidP="00380837">
      <w:pPr>
        <w:pStyle w:val="Nadpis2"/>
        <w:rPr>
          <w:rFonts w:ascii="Times New Roman" w:hAnsi="Times New Roman"/>
          <w:i w:val="0"/>
          <w:iCs w:val="0"/>
          <w:sz w:val="24"/>
          <w:szCs w:val="24"/>
        </w:rPr>
      </w:pPr>
      <w:bookmarkStart w:id="21" w:name="_Toc382129834"/>
      <w:bookmarkStart w:id="22" w:name="_Toc382129996"/>
      <w:bookmarkStart w:id="23" w:name="_Toc382130527"/>
      <w:bookmarkStart w:id="24" w:name="_Toc382141486"/>
      <w:bookmarkStart w:id="25" w:name="_Toc382141683"/>
      <w:r>
        <w:rPr>
          <w:rFonts w:ascii="Times New Roman" w:hAnsi="Times New Roman"/>
          <w:i w:val="0"/>
          <w:iCs w:val="0"/>
          <w:sz w:val="24"/>
          <w:szCs w:val="24"/>
        </w:rPr>
        <w:t xml:space="preserve">2. 2 </w:t>
      </w:r>
      <w:r w:rsidRPr="003273C2">
        <w:rPr>
          <w:rFonts w:ascii="Times New Roman" w:hAnsi="Times New Roman"/>
          <w:i w:val="0"/>
          <w:iCs w:val="0"/>
          <w:sz w:val="24"/>
          <w:szCs w:val="24"/>
        </w:rPr>
        <w:t>Typy zaznamenaných NOO a typológia</w:t>
      </w:r>
      <w:bookmarkEnd w:id="21"/>
      <w:bookmarkEnd w:id="22"/>
      <w:bookmarkEnd w:id="23"/>
      <w:bookmarkEnd w:id="24"/>
      <w:bookmarkEnd w:id="25"/>
      <w:r w:rsidRPr="003273C2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55835A8A" w14:textId="77777777" w:rsidR="00746E28" w:rsidRDefault="00746E28" w:rsidP="005F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8B" w14:textId="77777777" w:rsidR="00746E28" w:rsidRPr="00BD3660" w:rsidRDefault="00746E28" w:rsidP="00B26C9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uplynulom časovom období, ktoré postihuje táto výročná správa boli najčastejšie zaznamenané nasledovné </w:t>
      </w:r>
      <w:r w:rsidRPr="00BD3660">
        <w:rPr>
          <w:rFonts w:ascii="Times New Roman" w:hAnsi="Times New Roman" w:cs="Times New Roman"/>
          <w:sz w:val="24"/>
          <w:szCs w:val="24"/>
        </w:rPr>
        <w:t xml:space="preserve">javové formy a metódy legalizácie a financovania </w:t>
      </w:r>
      <w:r>
        <w:rPr>
          <w:rFonts w:ascii="Times New Roman" w:hAnsi="Times New Roman" w:cs="Times New Roman"/>
          <w:sz w:val="24"/>
          <w:szCs w:val="24"/>
        </w:rPr>
        <w:t>terorizmu:</w:t>
      </w:r>
    </w:p>
    <w:p w14:paraId="55835A8C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D3660">
        <w:rPr>
          <w:rFonts w:ascii="Times New Roman" w:hAnsi="Times New Roman" w:cs="Times New Roman"/>
          <w:sz w:val="24"/>
          <w:szCs w:val="24"/>
        </w:rPr>
        <w:t>o zvýšenej miere boli ohlasované prípady zakladania účtov v banke sídliacej v SR, ktorá vedie ib</w:t>
      </w:r>
      <w:r>
        <w:rPr>
          <w:rFonts w:ascii="Times New Roman" w:hAnsi="Times New Roman" w:cs="Times New Roman"/>
          <w:sz w:val="24"/>
          <w:szCs w:val="24"/>
        </w:rPr>
        <w:t xml:space="preserve">a bežné účty pre fyzické osoby – </w:t>
      </w:r>
      <w:r w:rsidRPr="00BD3660">
        <w:rPr>
          <w:rFonts w:ascii="Times New Roman" w:hAnsi="Times New Roman" w:cs="Times New Roman"/>
          <w:sz w:val="24"/>
          <w:szCs w:val="24"/>
        </w:rPr>
        <w:t>nepodnikateľov, pričom následným preverovaním zo strany banky bolo zistené, že na účtoch sú realizova</w:t>
      </w:r>
      <w:r>
        <w:rPr>
          <w:rFonts w:ascii="Times New Roman" w:hAnsi="Times New Roman" w:cs="Times New Roman"/>
          <w:sz w:val="24"/>
          <w:szCs w:val="24"/>
        </w:rPr>
        <w:t>né platby spojené s podnikaním. Ď</w:t>
      </w:r>
      <w:r w:rsidRPr="00BD3660">
        <w:rPr>
          <w:rFonts w:ascii="Times New Roman" w:hAnsi="Times New Roman" w:cs="Times New Roman"/>
          <w:sz w:val="24"/>
          <w:szCs w:val="24"/>
        </w:rPr>
        <w:t xml:space="preserve">alšou variáciou tejto javovej formy bolo zakladanie </w:t>
      </w:r>
      <w:r>
        <w:rPr>
          <w:rFonts w:ascii="Times New Roman" w:hAnsi="Times New Roman" w:cs="Times New Roman"/>
          <w:sz w:val="24"/>
          <w:szCs w:val="24"/>
        </w:rPr>
        <w:t>uvedených</w:t>
      </w:r>
      <w:r w:rsidRPr="00BD3660">
        <w:rPr>
          <w:rFonts w:ascii="Times New Roman" w:hAnsi="Times New Roman" w:cs="Times New Roman"/>
          <w:sz w:val="24"/>
          <w:szCs w:val="24"/>
        </w:rPr>
        <w:t xml:space="preserve"> bežných účtov pre </w:t>
      </w:r>
      <w:r>
        <w:rPr>
          <w:rFonts w:ascii="Times New Roman" w:hAnsi="Times New Roman" w:cs="Times New Roman"/>
          <w:sz w:val="24"/>
          <w:szCs w:val="24"/>
        </w:rPr>
        <w:t xml:space="preserve">fyzické osoby </w:t>
      </w:r>
      <w:r w:rsidRPr="00BD3660">
        <w:rPr>
          <w:rFonts w:ascii="Times New Roman" w:hAnsi="Times New Roman" w:cs="Times New Roman"/>
          <w:sz w:val="24"/>
          <w:szCs w:val="24"/>
        </w:rPr>
        <w:t xml:space="preserve">na odcudzené, falošné, resp. pozmenené osobné doklady. </w:t>
      </w:r>
      <w:r>
        <w:rPr>
          <w:rFonts w:ascii="Times New Roman" w:hAnsi="Times New Roman" w:cs="Times New Roman"/>
          <w:sz w:val="24"/>
          <w:szCs w:val="24"/>
        </w:rPr>
        <w:t>Popísaný</w:t>
      </w:r>
      <w:r w:rsidRPr="00BD3660">
        <w:rPr>
          <w:rFonts w:ascii="Times New Roman" w:hAnsi="Times New Roman" w:cs="Times New Roman"/>
          <w:sz w:val="24"/>
          <w:szCs w:val="24"/>
        </w:rPr>
        <w:t xml:space="preserve"> spôsob zneužívania bežných účtov je sčasti umožňovaný aj </w:t>
      </w:r>
      <w:r>
        <w:rPr>
          <w:rFonts w:ascii="Times New Roman" w:hAnsi="Times New Roman" w:cs="Times New Roman"/>
          <w:sz w:val="24"/>
          <w:szCs w:val="24"/>
        </w:rPr>
        <w:t>bankou, keď pri zmluvnom zakladaní účtov je zmluvná dokumentácia</w:t>
      </w:r>
      <w:r w:rsidRPr="00BD3660">
        <w:rPr>
          <w:rFonts w:ascii="Times New Roman" w:hAnsi="Times New Roman" w:cs="Times New Roman"/>
          <w:sz w:val="24"/>
          <w:szCs w:val="24"/>
        </w:rPr>
        <w:t xml:space="preserve"> k založeniu účtu finálne doručovaná zasielateľskými službami klientovi a následne overenie totožnosti je na pracovníkovi zasielateľskej spoločnosti a nie banky.</w:t>
      </w:r>
    </w:p>
    <w:p w14:paraId="55835A8D" w14:textId="77777777" w:rsidR="00746E28" w:rsidRPr="00BD3660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hodnotenom období FSJ evidovala účelové u</w:t>
      </w:r>
      <w:r w:rsidRPr="00BD3660">
        <w:rPr>
          <w:rFonts w:ascii="Times New Roman" w:hAnsi="Times New Roman" w:cs="Times New Roman"/>
          <w:sz w:val="24"/>
          <w:szCs w:val="24"/>
        </w:rPr>
        <w:t xml:space="preserve">miestňovanie </w:t>
      </w:r>
      <w:r>
        <w:rPr>
          <w:rFonts w:ascii="Times New Roman" w:hAnsi="Times New Roman" w:cs="Times New Roman"/>
          <w:sz w:val="24"/>
          <w:szCs w:val="24"/>
        </w:rPr>
        <w:t>finančných prostriedkov</w:t>
      </w:r>
      <w:r w:rsidRPr="00BD3660">
        <w:rPr>
          <w:rFonts w:ascii="Times New Roman" w:hAnsi="Times New Roman" w:cs="Times New Roman"/>
          <w:sz w:val="24"/>
          <w:szCs w:val="24"/>
        </w:rPr>
        <w:t xml:space="preserve"> maďarskými občanmi prostredníctvom účtov </w:t>
      </w:r>
      <w:r>
        <w:rPr>
          <w:rFonts w:ascii="Times New Roman" w:hAnsi="Times New Roman" w:cs="Times New Roman"/>
          <w:sz w:val="24"/>
          <w:szCs w:val="24"/>
        </w:rPr>
        <w:t>spoločností so sídlom v offshore zóne,</w:t>
      </w:r>
      <w:r w:rsidRPr="00BD3660">
        <w:rPr>
          <w:rFonts w:ascii="Times New Roman" w:hAnsi="Times New Roman" w:cs="Times New Roman"/>
          <w:sz w:val="24"/>
          <w:szCs w:val="24"/>
        </w:rPr>
        <w:t xml:space="preserve"> vedených v slovenských bankách </w:t>
      </w:r>
      <w:r>
        <w:rPr>
          <w:rFonts w:ascii="Times New Roman" w:hAnsi="Times New Roman" w:cs="Times New Roman"/>
          <w:sz w:val="24"/>
          <w:szCs w:val="24"/>
        </w:rPr>
        <w:t xml:space="preserve">s následnými prevodmi na </w:t>
      </w:r>
      <w:r w:rsidRPr="00BD3660">
        <w:rPr>
          <w:rFonts w:ascii="Times New Roman" w:hAnsi="Times New Roman" w:cs="Times New Roman"/>
          <w:sz w:val="24"/>
          <w:szCs w:val="24"/>
        </w:rPr>
        <w:t>ďalšie účty vedené v offshore oblastiach, pričom dispozičné právo na účt</w:t>
      </w:r>
      <w:r>
        <w:rPr>
          <w:rFonts w:ascii="Times New Roman" w:hAnsi="Times New Roman" w:cs="Times New Roman"/>
          <w:sz w:val="24"/>
          <w:szCs w:val="24"/>
        </w:rPr>
        <w:t>och právnických osôb majú zväčša cudzí štátny príslušníci (napr. Poliaci, Čes</w:t>
      </w:r>
      <w:r w:rsidRPr="00BD36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3660">
        <w:rPr>
          <w:rFonts w:ascii="Times New Roman" w:hAnsi="Times New Roman" w:cs="Times New Roman"/>
          <w:sz w:val="24"/>
          <w:szCs w:val="24"/>
        </w:rPr>
        <w:t xml:space="preserve">. Tento medzinárodný prvok pri disponentoch je </w:t>
      </w:r>
      <w:r>
        <w:rPr>
          <w:rFonts w:ascii="Times New Roman" w:hAnsi="Times New Roman" w:cs="Times New Roman"/>
          <w:sz w:val="24"/>
          <w:szCs w:val="24"/>
        </w:rPr>
        <w:t>zrejme</w:t>
      </w:r>
      <w:r w:rsidRPr="00BD3660">
        <w:rPr>
          <w:rFonts w:ascii="Times New Roman" w:hAnsi="Times New Roman" w:cs="Times New Roman"/>
          <w:sz w:val="24"/>
          <w:szCs w:val="24"/>
        </w:rPr>
        <w:t xml:space="preserve"> cielený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66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660">
        <w:rPr>
          <w:rFonts w:ascii="Times New Roman" w:hAnsi="Times New Roman" w:cs="Times New Roman"/>
          <w:sz w:val="24"/>
          <w:szCs w:val="24"/>
        </w:rPr>
        <w:t xml:space="preserve">účelom sťažiť </w:t>
      </w:r>
      <w:r>
        <w:rPr>
          <w:rFonts w:ascii="Times New Roman" w:hAnsi="Times New Roman" w:cs="Times New Roman"/>
          <w:sz w:val="24"/>
          <w:szCs w:val="24"/>
        </w:rPr>
        <w:t>prípadné dokumentovanie</w:t>
      </w:r>
      <w:r w:rsidRPr="00BD3660">
        <w:rPr>
          <w:rFonts w:ascii="Times New Roman" w:hAnsi="Times New Roman" w:cs="Times New Roman"/>
          <w:sz w:val="24"/>
          <w:szCs w:val="24"/>
        </w:rPr>
        <w:t xml:space="preserve"> podozrenia z prania špinavých peňazí</w:t>
      </w:r>
      <w:r>
        <w:rPr>
          <w:rFonts w:ascii="Times New Roman" w:hAnsi="Times New Roman" w:cs="Times New Roman"/>
          <w:sz w:val="24"/>
          <w:szCs w:val="24"/>
        </w:rPr>
        <w:t>, najmä</w:t>
      </w:r>
      <w:r w:rsidRPr="00BD3660">
        <w:rPr>
          <w:rFonts w:ascii="Times New Roman" w:hAnsi="Times New Roman" w:cs="Times New Roman"/>
          <w:sz w:val="24"/>
          <w:szCs w:val="24"/>
        </w:rPr>
        <w:t xml:space="preserve"> proces zabezpečovania potrebných informácii k preverovaným transakciám.</w:t>
      </w:r>
    </w:p>
    <w:p w14:paraId="55835A8E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FSJ zaznamenala zvýšený počet hlásení o NOO, súvisiacich s </w:t>
      </w:r>
      <w:r w:rsidRPr="00BD3660">
        <w:rPr>
          <w:rFonts w:ascii="Times New Roman" w:hAnsi="Times New Roman" w:cs="Times New Roman"/>
          <w:sz w:val="24"/>
          <w:szCs w:val="24"/>
        </w:rPr>
        <w:t>investíci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BD3660">
        <w:rPr>
          <w:rFonts w:ascii="Times New Roman" w:hAnsi="Times New Roman" w:cs="Times New Roman"/>
          <w:sz w:val="24"/>
          <w:szCs w:val="24"/>
        </w:rPr>
        <w:t xml:space="preserve"> do kúpy nehnuteľností, ktoré sú uhrádzané prostriedkami vloženými na účty v hotovosti bez toho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660">
        <w:rPr>
          <w:rFonts w:ascii="Times New Roman" w:hAnsi="Times New Roman" w:cs="Times New Roman"/>
          <w:sz w:val="24"/>
          <w:szCs w:val="24"/>
        </w:rPr>
        <w:t xml:space="preserve"> aby bol známy pôvod vkladaných prostriedkov.</w:t>
      </w:r>
    </w:p>
    <w:p w14:paraId="55835A8F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 predchádzajúceho obdobia naďalej pretrváva využívanie</w:t>
      </w:r>
      <w:r w:rsidRPr="00BD3660">
        <w:rPr>
          <w:rFonts w:ascii="Times New Roman" w:hAnsi="Times New Roman" w:cs="Times New Roman"/>
          <w:sz w:val="24"/>
          <w:szCs w:val="24"/>
        </w:rPr>
        <w:t xml:space="preserve"> schránkových a fiktívnych spoločností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D3660">
        <w:rPr>
          <w:rFonts w:ascii="Times New Roman" w:hAnsi="Times New Roman" w:cs="Times New Roman"/>
          <w:sz w:val="24"/>
          <w:szCs w:val="24"/>
        </w:rPr>
        <w:t xml:space="preserve"> zložitých obchodných </w:t>
      </w:r>
      <w:r>
        <w:rPr>
          <w:rFonts w:ascii="Times New Roman" w:hAnsi="Times New Roman" w:cs="Times New Roman"/>
          <w:sz w:val="24"/>
          <w:szCs w:val="24"/>
        </w:rPr>
        <w:t>transakciách</w:t>
      </w:r>
      <w:r w:rsidRPr="00BD3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účelom </w:t>
      </w:r>
      <w:r w:rsidRPr="00BD3660">
        <w:rPr>
          <w:rFonts w:ascii="Times New Roman" w:hAnsi="Times New Roman" w:cs="Times New Roman"/>
          <w:sz w:val="24"/>
          <w:szCs w:val="24"/>
        </w:rPr>
        <w:t>zneprehľadnen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D3660">
        <w:rPr>
          <w:rFonts w:ascii="Times New Roman" w:hAnsi="Times New Roman" w:cs="Times New Roman"/>
          <w:sz w:val="24"/>
          <w:szCs w:val="24"/>
        </w:rPr>
        <w:t xml:space="preserve"> finančných operácií, pohybu tovaru a služieb so súčasným zapojením bielych koní</w:t>
      </w:r>
      <w:r>
        <w:rPr>
          <w:rFonts w:ascii="Times New Roman" w:hAnsi="Times New Roman" w:cs="Times New Roman"/>
          <w:sz w:val="24"/>
          <w:szCs w:val="24"/>
        </w:rPr>
        <w:t xml:space="preserve"> v tzv. </w:t>
      </w:r>
      <w:r w:rsidRPr="00BD3660">
        <w:rPr>
          <w:rFonts w:ascii="Times New Roman" w:hAnsi="Times New Roman" w:cs="Times New Roman"/>
          <w:sz w:val="24"/>
          <w:szCs w:val="24"/>
        </w:rPr>
        <w:t>karuselov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BD366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odvodoch s cieľom uplatňovania nadmerných odpočtov dane z pridanej hodnoty.</w:t>
      </w:r>
    </w:p>
    <w:p w14:paraId="55835A90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Objavili</w:t>
      </w:r>
      <w:r w:rsidRPr="00BD3660">
        <w:rPr>
          <w:rFonts w:ascii="Times New Roman" w:hAnsi="Times New Roman" w:cs="Times New Roman"/>
          <w:sz w:val="24"/>
          <w:szCs w:val="24"/>
        </w:rPr>
        <w:t xml:space="preserve"> sa prípady, v rámci ktorých boli podvodným spôsobom v rámci </w:t>
      </w:r>
      <w:r>
        <w:rPr>
          <w:rFonts w:ascii="Times New Roman" w:hAnsi="Times New Roman" w:cs="Times New Roman"/>
          <w:sz w:val="24"/>
          <w:szCs w:val="24"/>
        </w:rPr>
        <w:t xml:space="preserve">vytypovaného obchodného vzťahu </w:t>
      </w:r>
      <w:r w:rsidRPr="00BD3660">
        <w:rPr>
          <w:rFonts w:ascii="Times New Roman" w:hAnsi="Times New Roman" w:cs="Times New Roman"/>
          <w:sz w:val="24"/>
          <w:szCs w:val="24"/>
        </w:rPr>
        <w:t xml:space="preserve">cielene skupinou osôb odklonené platby vo veľkých objemoch (rádovo </w:t>
      </w:r>
      <w:r w:rsidRPr="00E872D8">
        <w:rPr>
          <w:rFonts w:ascii="Times New Roman" w:hAnsi="Times New Roman" w:cs="Times New Roman"/>
          <w:sz w:val="24"/>
          <w:szCs w:val="24"/>
        </w:rPr>
        <w:t>miliónov EUR) na vopred pripravený účet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72D8">
        <w:rPr>
          <w:rFonts w:ascii="Times New Roman" w:hAnsi="Times New Roman" w:cs="Times New Roman"/>
          <w:sz w:val="24"/>
          <w:szCs w:val="24"/>
        </w:rPr>
        <w:t xml:space="preserve"> otvorený v banke v inej krajine než v tej, ktorej bol</w:t>
      </w:r>
      <w:r w:rsidRPr="00BD3660">
        <w:rPr>
          <w:rFonts w:ascii="Times New Roman" w:hAnsi="Times New Roman" w:cs="Times New Roman"/>
          <w:sz w:val="24"/>
          <w:szCs w:val="24"/>
        </w:rPr>
        <w:t xml:space="preserve"> realizovaný základný obchodný </w:t>
      </w:r>
      <w:r>
        <w:rPr>
          <w:rFonts w:ascii="Times New Roman" w:hAnsi="Times New Roman" w:cs="Times New Roman"/>
          <w:sz w:val="24"/>
          <w:szCs w:val="24"/>
        </w:rPr>
        <w:t>vzťah</w:t>
      </w:r>
      <w:r w:rsidRPr="00BD3660">
        <w:rPr>
          <w:rFonts w:ascii="Times New Roman" w:hAnsi="Times New Roman" w:cs="Times New Roman"/>
          <w:sz w:val="24"/>
          <w:szCs w:val="24"/>
        </w:rPr>
        <w:t xml:space="preserve">, pričom </w:t>
      </w:r>
      <w:r>
        <w:rPr>
          <w:rFonts w:ascii="Times New Roman" w:hAnsi="Times New Roman" w:cs="Times New Roman"/>
          <w:sz w:val="24"/>
          <w:szCs w:val="24"/>
        </w:rPr>
        <w:t>platiteľ</w:t>
      </w:r>
      <w:r w:rsidRPr="00BD3660">
        <w:rPr>
          <w:rFonts w:ascii="Times New Roman" w:hAnsi="Times New Roman" w:cs="Times New Roman"/>
          <w:sz w:val="24"/>
          <w:szCs w:val="24"/>
        </w:rPr>
        <w:t xml:space="preserve"> a účastník obchodného prípadu bol mylne informovaný sofistikovaným spôsobom o zmene platobného účtu svojho obchodného partnera. Bezprostredne po zrealizovanej úhrade na pri</w:t>
      </w:r>
      <w:r>
        <w:rPr>
          <w:rFonts w:ascii="Times New Roman" w:hAnsi="Times New Roman" w:cs="Times New Roman"/>
          <w:sz w:val="24"/>
          <w:szCs w:val="24"/>
        </w:rPr>
        <w:t>pravený</w:t>
      </w:r>
      <w:r w:rsidRPr="00BD3660">
        <w:rPr>
          <w:rFonts w:ascii="Times New Roman" w:hAnsi="Times New Roman" w:cs="Times New Roman"/>
          <w:sz w:val="24"/>
          <w:szCs w:val="24"/>
        </w:rPr>
        <w:t xml:space="preserve"> účet nasledovali bezhotovostné prevody, v rámci ktorých boli peniaze  finálne prevedené na účty 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660">
        <w:rPr>
          <w:rFonts w:ascii="Times New Roman" w:hAnsi="Times New Roman" w:cs="Times New Roman"/>
          <w:sz w:val="24"/>
          <w:szCs w:val="24"/>
        </w:rPr>
        <w:t>bankách lokalizovaných v známych offshore oblastia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D3660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ako napr.: </w:t>
      </w:r>
      <w:r w:rsidRPr="00BD3660">
        <w:rPr>
          <w:rFonts w:ascii="Times New Roman" w:hAnsi="Times New Roman" w:cs="Times New Roman"/>
          <w:sz w:val="24"/>
          <w:szCs w:val="24"/>
        </w:rPr>
        <w:t>Hong-Kong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660">
        <w:rPr>
          <w:rFonts w:ascii="Times New Roman" w:hAnsi="Times New Roman" w:cs="Times New Roman"/>
          <w:sz w:val="24"/>
          <w:szCs w:val="24"/>
        </w:rPr>
        <w:t>Čína. Z o</w:t>
      </w:r>
      <w:r>
        <w:rPr>
          <w:rFonts w:ascii="Times New Roman" w:hAnsi="Times New Roman" w:cs="Times New Roman"/>
          <w:sz w:val="24"/>
          <w:szCs w:val="24"/>
        </w:rPr>
        <w:t>hlásených prípadov bolo zistené,</w:t>
      </w:r>
      <w:r w:rsidRPr="00BD3660">
        <w:rPr>
          <w:rFonts w:ascii="Times New Roman" w:hAnsi="Times New Roman" w:cs="Times New Roman"/>
          <w:sz w:val="24"/>
          <w:szCs w:val="24"/>
        </w:rPr>
        <w:t xml:space="preserve"> že osoby, ktoré takýmto sofistikovaným spôsobom zrealizovali uvedené operácie boli občania Maďarska, Rumunska a krajina poškodeného bola vo </w:t>
      </w:r>
      <w:r>
        <w:rPr>
          <w:rFonts w:ascii="Times New Roman" w:hAnsi="Times New Roman" w:cs="Times New Roman"/>
          <w:sz w:val="24"/>
          <w:szCs w:val="24"/>
        </w:rPr>
        <w:t>väčšine</w:t>
      </w:r>
      <w:r w:rsidRPr="00BD3660">
        <w:rPr>
          <w:rFonts w:ascii="Times New Roman" w:hAnsi="Times New Roman" w:cs="Times New Roman"/>
          <w:sz w:val="24"/>
          <w:szCs w:val="24"/>
        </w:rPr>
        <w:t xml:space="preserve"> prípadoch Francúzsko.</w:t>
      </w:r>
    </w:p>
    <w:p w14:paraId="55835A91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jednom prípade sa podarilo FSJ v súčinnosti s OČTK takto prevádzané peňažné prostriedky zaistiť na „vopred pripravenom účte“ a v druhom prípade po cielenom vykonaní zdržania peňažných prostriedkov zo strany FSJ na </w:t>
      </w:r>
      <w:r w:rsidRPr="00D3632C">
        <w:rPr>
          <w:rFonts w:ascii="Times New Roman" w:hAnsi="Times New Roman" w:cs="Times New Roman"/>
          <w:sz w:val="24"/>
          <w:szCs w:val="24"/>
        </w:rPr>
        <w:t xml:space="preserve">„vopred </w:t>
      </w:r>
      <w:r>
        <w:rPr>
          <w:rFonts w:ascii="Times New Roman" w:hAnsi="Times New Roman" w:cs="Times New Roman"/>
          <w:sz w:val="24"/>
          <w:szCs w:val="24"/>
        </w:rPr>
        <w:t>pripravenom</w:t>
      </w:r>
      <w:r w:rsidRPr="00D3632C">
        <w:rPr>
          <w:rFonts w:ascii="Times New Roman" w:hAnsi="Times New Roman" w:cs="Times New Roman"/>
          <w:sz w:val="24"/>
          <w:szCs w:val="24"/>
        </w:rPr>
        <w:t xml:space="preserve"> účte“</w:t>
      </w:r>
      <w:r>
        <w:rPr>
          <w:rFonts w:ascii="Times New Roman" w:hAnsi="Times New Roman" w:cs="Times New Roman"/>
          <w:sz w:val="24"/>
          <w:szCs w:val="24"/>
        </w:rPr>
        <w:t xml:space="preserve"> – majiteľ účtu pristúpil k vráteniu peňažných prostriedkov, čím došlo k zamedzeniu umiestnenia príjmu z trestného činu na ďalšie účty v zahraničí a k ich vráteniu poškodenej strane.</w:t>
      </w:r>
    </w:p>
    <w:p w14:paraId="55835A92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vyššie popísaných javových foriem možnej legalizácie príjmov z trestnej činnosti možno vyvodiť, že v prevažnej miere súviseli s páchaním trestných činov daňových a trestnej činnosti vykazujúcej určité znaky podvodného konania.</w:t>
      </w:r>
    </w:p>
    <w:p w14:paraId="55835A93" w14:textId="77777777" w:rsidR="00746E28" w:rsidRDefault="00746E28" w:rsidP="00552AC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uplynulom roku 2013 FSJ eviduje mierny pokles počtu hlásení NOO týkajúcich sa phishingu (o 50 prípadov menej ako v roku 2012) a internetových podvodov (o 23 prípadov menej ako v roku 2012). Najzávažnejšie internetové podvody boli realizované občanmi Rumunska, zväčša bývajúcimi v zahraničí, ktorí zneužívali dôveryhodnosť osôb. Podvody súviseli s predstieraným predajom tovaru, najmä osobných automobilov a rôznych priemyselných zariadení. Predstieraný predaj bol viazaný na zaplatenie zálohy, prípadne celej kúpnej ceny vopred na účet v zahraničí, pričom k dodaniu tovaru zo strany predávajúceho nedošlo.</w:t>
      </w:r>
    </w:p>
    <w:p w14:paraId="55835A94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835A95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Tabuľka č. 5</w:t>
      </w:r>
      <w:r w:rsidRPr="00614B56">
        <w:rPr>
          <w:rFonts w:ascii="Times New Roman" w:hAnsi="Times New Roman" w:cs="Times New Roman"/>
          <w:sz w:val="20"/>
          <w:szCs w:val="20"/>
        </w:rPr>
        <w:t>: Štatistický prehľad typov zaznamenaných NOO</w:t>
      </w:r>
      <w:r>
        <w:rPr>
          <w:rFonts w:ascii="Times New Roman" w:hAnsi="Times New Roman" w:cs="Times New Roman"/>
          <w:sz w:val="20"/>
          <w:szCs w:val="20"/>
        </w:rPr>
        <w:t xml:space="preserve"> v roku 2013</w:t>
      </w:r>
    </w:p>
    <w:p w14:paraId="55835A96" w14:textId="77777777" w:rsidR="00746E28" w:rsidRPr="00FF2E7E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693"/>
        <w:gridCol w:w="2725"/>
      </w:tblGrid>
      <w:tr w:rsidR="00746E28" w:rsidRPr="00257297" w14:paraId="55835A9A" w14:textId="77777777">
        <w:tc>
          <w:tcPr>
            <w:tcW w:w="3686" w:type="dxa"/>
          </w:tcPr>
          <w:p w14:paraId="55835A97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ZAZNAMENANÝ TYP NOO</w:t>
            </w:r>
          </w:p>
        </w:tc>
        <w:tc>
          <w:tcPr>
            <w:tcW w:w="2693" w:type="dxa"/>
          </w:tcPr>
          <w:p w14:paraId="55835A9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2725" w:type="dxa"/>
          </w:tcPr>
          <w:p w14:paraId="55835A9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HODNOTA </w:t>
            </w:r>
            <w:r w:rsidRPr="00E8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(EUR)</w:t>
            </w:r>
          </w:p>
        </w:tc>
      </w:tr>
      <w:tr w:rsidR="00746E28" w:rsidRPr="00257297" w14:paraId="55835A9E" w14:textId="77777777">
        <w:tc>
          <w:tcPr>
            <w:tcW w:w="3686" w:type="dxa"/>
          </w:tcPr>
          <w:p w14:paraId="55835A9B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Bezhotovostný platobný styk</w:t>
            </w:r>
          </w:p>
        </w:tc>
        <w:tc>
          <w:tcPr>
            <w:tcW w:w="2693" w:type="dxa"/>
          </w:tcPr>
          <w:p w14:paraId="55835A9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2725" w:type="dxa"/>
          </w:tcPr>
          <w:p w14:paraId="55835A9D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683.341.211</w:t>
            </w:r>
          </w:p>
        </w:tc>
      </w:tr>
      <w:tr w:rsidR="00746E28" w:rsidRPr="00257297" w14:paraId="55835AA2" w14:textId="77777777">
        <w:tc>
          <w:tcPr>
            <w:tcW w:w="3686" w:type="dxa"/>
          </w:tcPr>
          <w:p w14:paraId="55835A9F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Hotovostné operácie</w:t>
            </w:r>
          </w:p>
        </w:tc>
        <w:tc>
          <w:tcPr>
            <w:tcW w:w="2693" w:type="dxa"/>
          </w:tcPr>
          <w:p w14:paraId="55835AA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725" w:type="dxa"/>
          </w:tcPr>
          <w:p w14:paraId="55835AA1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456.263.276</w:t>
            </w:r>
          </w:p>
        </w:tc>
      </w:tr>
      <w:tr w:rsidR="00746E28" w:rsidRPr="00257297" w14:paraId="55835AA6" w14:textId="77777777">
        <w:tc>
          <w:tcPr>
            <w:tcW w:w="3686" w:type="dxa"/>
          </w:tcPr>
          <w:p w14:paraId="55835AA3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Zahraničný platobný styk</w:t>
            </w:r>
          </w:p>
        </w:tc>
        <w:tc>
          <w:tcPr>
            <w:tcW w:w="2693" w:type="dxa"/>
          </w:tcPr>
          <w:p w14:paraId="55835AA4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2725" w:type="dxa"/>
          </w:tcPr>
          <w:p w14:paraId="55835AA5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620.340.601</w:t>
            </w:r>
          </w:p>
        </w:tc>
      </w:tr>
      <w:tr w:rsidR="00746E28" w:rsidRPr="00257297" w14:paraId="55835AAA" w14:textId="77777777">
        <w:tc>
          <w:tcPr>
            <w:tcW w:w="3686" w:type="dxa"/>
          </w:tcPr>
          <w:p w14:paraId="55835AA7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NOO s prvkom „off shore“</w:t>
            </w:r>
          </w:p>
        </w:tc>
        <w:tc>
          <w:tcPr>
            <w:tcW w:w="2693" w:type="dxa"/>
            <w:vAlign w:val="center"/>
          </w:tcPr>
          <w:p w14:paraId="55835AA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5" w:type="dxa"/>
            <w:vAlign w:val="center"/>
          </w:tcPr>
          <w:p w14:paraId="55835AA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78.110.717</w:t>
            </w:r>
          </w:p>
        </w:tc>
      </w:tr>
      <w:tr w:rsidR="00746E28" w:rsidRPr="00257297" w14:paraId="55835AAE" w14:textId="77777777">
        <w:tc>
          <w:tcPr>
            <w:tcW w:w="3686" w:type="dxa"/>
          </w:tcPr>
          <w:p w14:paraId="55835AAB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Phishing, Pharming</w:t>
            </w:r>
          </w:p>
        </w:tc>
        <w:tc>
          <w:tcPr>
            <w:tcW w:w="2693" w:type="dxa"/>
          </w:tcPr>
          <w:p w14:paraId="55835AA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25" w:type="dxa"/>
          </w:tcPr>
          <w:p w14:paraId="55835AAD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10.825.162</w:t>
            </w:r>
          </w:p>
        </w:tc>
      </w:tr>
      <w:tr w:rsidR="00746E28" w:rsidRPr="00257297" w14:paraId="55835AB2" w14:textId="77777777">
        <w:tc>
          <w:tcPr>
            <w:tcW w:w="3686" w:type="dxa"/>
          </w:tcPr>
          <w:p w14:paraId="55835AAF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Internetový podvod</w:t>
            </w:r>
          </w:p>
        </w:tc>
        <w:tc>
          <w:tcPr>
            <w:tcW w:w="2693" w:type="dxa"/>
          </w:tcPr>
          <w:p w14:paraId="55835AB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</w:tcPr>
          <w:p w14:paraId="55835AB1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2.790.937</w:t>
            </w:r>
          </w:p>
        </w:tc>
      </w:tr>
      <w:tr w:rsidR="00746E28" w:rsidRPr="00257297" w14:paraId="55835AB6" w14:textId="77777777">
        <w:tc>
          <w:tcPr>
            <w:tcW w:w="3686" w:type="dxa"/>
          </w:tcPr>
          <w:p w14:paraId="55835AB3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Hazard</w:t>
            </w:r>
          </w:p>
        </w:tc>
        <w:tc>
          <w:tcPr>
            <w:tcW w:w="2693" w:type="dxa"/>
          </w:tcPr>
          <w:p w14:paraId="55835AB4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14:paraId="55835AB5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1.255.705</w:t>
            </w:r>
          </w:p>
        </w:tc>
      </w:tr>
    </w:tbl>
    <w:p w14:paraId="55835AB7" w14:textId="77777777" w:rsidR="00746E28" w:rsidRPr="00FF2E7E" w:rsidRDefault="00746E28" w:rsidP="00FF2E7E">
      <w:pPr>
        <w:rPr>
          <w:rFonts w:ascii="Times New Roman" w:hAnsi="Times New Roman" w:cs="Times New Roman"/>
          <w:sz w:val="24"/>
          <w:szCs w:val="24"/>
        </w:rPr>
      </w:pPr>
      <w:bookmarkStart w:id="26" w:name="_Toc382129835"/>
      <w:bookmarkStart w:id="27" w:name="_Toc382129997"/>
      <w:bookmarkStart w:id="28" w:name="_Toc382130528"/>
    </w:p>
    <w:p w14:paraId="55835AB8" w14:textId="77777777" w:rsidR="00746E28" w:rsidRPr="00625E69" w:rsidRDefault="00746E28" w:rsidP="00380837">
      <w:pPr>
        <w:pStyle w:val="Nadpis2"/>
        <w:rPr>
          <w:rFonts w:ascii="Times New Roman" w:hAnsi="Times New Roman"/>
          <w:i w:val="0"/>
          <w:iCs w:val="0"/>
          <w:sz w:val="24"/>
          <w:szCs w:val="24"/>
        </w:rPr>
      </w:pPr>
      <w:bookmarkStart w:id="29" w:name="_Toc382141487"/>
      <w:bookmarkStart w:id="30" w:name="_Toc382141684"/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2.3 </w:t>
      </w:r>
      <w:r w:rsidRPr="00625E69">
        <w:rPr>
          <w:rFonts w:ascii="Times New Roman" w:hAnsi="Times New Roman"/>
          <w:i w:val="0"/>
          <w:iCs w:val="0"/>
          <w:sz w:val="24"/>
          <w:szCs w:val="24"/>
        </w:rPr>
        <w:t>Účinnosť hlásení o NOO</w:t>
      </w:r>
      <w:bookmarkEnd w:id="26"/>
      <w:bookmarkEnd w:id="27"/>
      <w:bookmarkEnd w:id="28"/>
      <w:bookmarkEnd w:id="29"/>
      <w:bookmarkEnd w:id="30"/>
    </w:p>
    <w:p w14:paraId="55835AB9" w14:textId="77777777" w:rsidR="00746E28" w:rsidRDefault="00746E28" w:rsidP="00625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BA" w14:textId="77777777" w:rsidR="00746E28" w:rsidRDefault="00746E28" w:rsidP="00A55298">
      <w:pPr>
        <w:spacing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FSJ vedie podrobné štatistické údaje o počte prijatých hlásení o NOO, spôsobe ich spracovania a ich počtoch vrátane prípadov odstúpených OČTK alebo správcom dane za kalendárny rok, o počtoch stíhaných osôb a osôb právoplatne odsúdených z prania špinavých peňazí, zhromažďuje údaje o hodnote zaisteného majetku, zhabaného alebo prepadnutého majetku.</w:t>
      </w:r>
    </w:p>
    <w:p w14:paraId="55835ABB" w14:textId="77777777" w:rsidR="00746E28" w:rsidRDefault="00746E28" w:rsidP="00A55298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prijatých hlásení v roku 2013, po vykonaní dôslednej analýzy, zároveň zohľadniac pôsobnosť jednotlivých subjektov a relevanciu informácií získaných ohlasovacou povinnosťou pre ich činnosť FSJ poskytla:</w:t>
      </w:r>
    </w:p>
    <w:p w14:paraId="55835ABC" w14:textId="77777777" w:rsidR="00746E28" w:rsidRDefault="00746E28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OČTK 266 informácií,</w:t>
      </w:r>
    </w:p>
    <w:p w14:paraId="55835ABD" w14:textId="77777777" w:rsidR="00746E28" w:rsidRDefault="00746E28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odborom národnej kriminálnej agentúry 540 informácií,</w:t>
      </w:r>
    </w:p>
    <w:p w14:paraId="55835ABE" w14:textId="77777777" w:rsidR="00746E28" w:rsidRDefault="00746E28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finančnému riaditeľstvu SR 1636 informácií,</w:t>
      </w:r>
    </w:p>
    <w:p w14:paraId="55835ABF" w14:textId="77777777" w:rsidR="00746E28" w:rsidRDefault="00746E28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oddeleniu kontroly povinných osôb FSJ 3 informácie,</w:t>
      </w:r>
    </w:p>
    <w:p w14:paraId="55835AC0" w14:textId="77777777" w:rsidR="00746E28" w:rsidRDefault="00746E28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zahraničných FIU 297 informácií,</w:t>
      </w:r>
    </w:p>
    <w:p w14:paraId="55835AC1" w14:textId="77777777" w:rsidR="00746E28" w:rsidRDefault="000C1ADF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boja proti terorizmu 80</w:t>
      </w:r>
      <w:r w:rsidR="00746E28">
        <w:rPr>
          <w:rFonts w:ascii="Times New Roman" w:hAnsi="Times New Roman" w:cs="Times New Roman"/>
          <w:sz w:val="24"/>
          <w:szCs w:val="24"/>
        </w:rPr>
        <w:t xml:space="preserve"> informácií,</w:t>
      </w:r>
    </w:p>
    <w:p w14:paraId="55835AC2" w14:textId="77777777" w:rsidR="00746E28" w:rsidRDefault="00746E28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krajským a okresným riaditeľstvám PZ 321 informácií,</w:t>
      </w:r>
    </w:p>
    <w:p w14:paraId="55835AC3" w14:textId="77777777" w:rsidR="00746E28" w:rsidRDefault="00746E28" w:rsidP="00CD1D65">
      <w:pPr>
        <w:numPr>
          <w:ilvl w:val="0"/>
          <w:numId w:val="9"/>
        </w:numPr>
        <w:tabs>
          <w:tab w:val="clear" w:pos="673"/>
          <w:tab w:val="num" w:pos="-5529"/>
          <w:tab w:val="num" w:pos="1134"/>
        </w:tabs>
        <w:spacing w:before="100" w:beforeAutospacing="1" w:after="100" w:afterAutospacing="1" w:line="240" w:lineRule="auto"/>
        <w:ind w:leftChars="321" w:left="1133" w:hangingChars="17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databázy FSJ pre prípadné ďalšie využitie bolo založených 1483 informácií.</w:t>
      </w:r>
    </w:p>
    <w:p w14:paraId="55835AC4" w14:textId="77777777" w:rsidR="00746E28" w:rsidRDefault="00746E28" w:rsidP="00E21E4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Ucelený prehľad o postupoch a rozhodovacej činnosti policajtov o odstúpených informáciách v intenciách Trestného poriadku poskytuje nasledujúca tabuľka.</w:t>
      </w:r>
    </w:p>
    <w:p w14:paraId="55835AC5" w14:textId="77777777" w:rsidR="00746E28" w:rsidRPr="00377935" w:rsidRDefault="00746E28" w:rsidP="0037793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AC6" w14:textId="77777777" w:rsidR="00746E28" w:rsidRDefault="00746E28" w:rsidP="007A3EA9">
      <w:pPr>
        <w:spacing w:after="0"/>
        <w:ind w:left="208"/>
        <w:jc w:val="both"/>
        <w:rPr>
          <w:rFonts w:ascii="Times New Roman" w:hAnsi="Times New Roman" w:cs="Times New Roman"/>
          <w:sz w:val="20"/>
          <w:szCs w:val="20"/>
        </w:rPr>
      </w:pPr>
      <w:r w:rsidRPr="000A7786">
        <w:rPr>
          <w:rFonts w:ascii="Times New Roman" w:hAnsi="Times New Roman" w:cs="Times New Roman"/>
          <w:sz w:val="20"/>
          <w:szCs w:val="20"/>
        </w:rPr>
        <w:t xml:space="preserve">Tabuľka č.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A7786">
        <w:rPr>
          <w:rFonts w:ascii="Times New Roman" w:hAnsi="Times New Roman" w:cs="Times New Roman"/>
          <w:sz w:val="20"/>
          <w:szCs w:val="20"/>
        </w:rPr>
        <w:t>: Postup OČTK po odstúpení informácií v zmysle § 26 ods. 2 písm. b) zákona o ochrane pred legalizáciou za rok 2013</w:t>
      </w:r>
    </w:p>
    <w:p w14:paraId="55835AC7" w14:textId="77777777" w:rsidR="00746E28" w:rsidRPr="00B26C91" w:rsidRDefault="00746E28" w:rsidP="00B2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41"/>
      </w:tblGrid>
      <w:tr w:rsidR="00746E28" w:rsidRPr="00257297" w14:paraId="55835ACA" w14:textId="77777777">
        <w:tc>
          <w:tcPr>
            <w:tcW w:w="6663" w:type="dxa"/>
          </w:tcPr>
          <w:p w14:paraId="55835AC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POSTUP OČTK </w:t>
            </w:r>
          </w:p>
        </w:tc>
        <w:tc>
          <w:tcPr>
            <w:tcW w:w="2441" w:type="dxa"/>
          </w:tcPr>
          <w:p w14:paraId="55835AC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POČET </w:t>
            </w:r>
          </w:p>
        </w:tc>
      </w:tr>
      <w:tr w:rsidR="00746E28" w:rsidRPr="00257297" w14:paraId="55835ACD" w14:textId="77777777">
        <w:tc>
          <w:tcPr>
            <w:tcW w:w="6663" w:type="dxa"/>
          </w:tcPr>
          <w:p w14:paraId="55835ACB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Začatie trestného stíhania podľa § 199 Trestného poriadku</w:t>
            </w:r>
          </w:p>
        </w:tc>
        <w:tc>
          <w:tcPr>
            <w:tcW w:w="2441" w:type="dxa"/>
          </w:tcPr>
          <w:p w14:paraId="55835AC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6E28" w:rsidRPr="00257297" w14:paraId="55835AD0" w14:textId="77777777">
        <w:tc>
          <w:tcPr>
            <w:tcW w:w="6663" w:type="dxa"/>
          </w:tcPr>
          <w:p w14:paraId="55835ACE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Začatie trestného stíhania za trestný čin legalizácie príjmu z trestnej činnosti podľa § 233, §234 Trestného zákona</w:t>
            </w:r>
          </w:p>
        </w:tc>
        <w:tc>
          <w:tcPr>
            <w:tcW w:w="2441" w:type="dxa"/>
          </w:tcPr>
          <w:p w14:paraId="55835ACF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E28" w:rsidRPr="00257297" w14:paraId="55835AD3" w14:textId="77777777">
        <w:tc>
          <w:tcPr>
            <w:tcW w:w="6663" w:type="dxa"/>
          </w:tcPr>
          <w:p w14:paraId="55835AD1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Začatie trestného stíhania za iný trestný čin</w:t>
            </w:r>
          </w:p>
        </w:tc>
        <w:tc>
          <w:tcPr>
            <w:tcW w:w="2441" w:type="dxa"/>
          </w:tcPr>
          <w:p w14:paraId="55835AD2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6E28" w:rsidRPr="00257297" w14:paraId="55835AD6" w14:textId="77777777">
        <w:tc>
          <w:tcPr>
            <w:tcW w:w="6663" w:type="dxa"/>
          </w:tcPr>
          <w:p w14:paraId="55835AD4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Vznesenie obvinenia podľa § 206 Trestného poriadku</w:t>
            </w:r>
          </w:p>
        </w:tc>
        <w:tc>
          <w:tcPr>
            <w:tcW w:w="2441" w:type="dxa"/>
          </w:tcPr>
          <w:p w14:paraId="55835AD5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28" w:rsidRPr="00257297" w14:paraId="55835AD9" w14:textId="77777777">
        <w:tc>
          <w:tcPr>
            <w:tcW w:w="6663" w:type="dxa"/>
          </w:tcPr>
          <w:p w14:paraId="55835AD7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Vznesenie obvinenia za trestný čin legalizácie príjmu z trestnej činnosti podľa § 233, §234 Trestného zákona</w:t>
            </w:r>
          </w:p>
        </w:tc>
        <w:tc>
          <w:tcPr>
            <w:tcW w:w="2441" w:type="dxa"/>
          </w:tcPr>
          <w:p w14:paraId="55835AD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E28" w:rsidRPr="00257297" w14:paraId="55835ADC" w14:textId="77777777">
        <w:trPr>
          <w:trHeight w:val="443"/>
        </w:trPr>
        <w:tc>
          <w:tcPr>
            <w:tcW w:w="6663" w:type="dxa"/>
            <w:vMerge w:val="restart"/>
          </w:tcPr>
          <w:p w14:paraId="55835ADA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 xml:space="preserve">Vznesenie obvinenia pre trestný čin úverového podvodu podľa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§ 221 Trestného zákona</w:t>
            </w:r>
          </w:p>
        </w:tc>
        <w:tc>
          <w:tcPr>
            <w:tcW w:w="2441" w:type="dxa"/>
          </w:tcPr>
          <w:p w14:paraId="55835ADB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E28" w:rsidRPr="00257297" w14:paraId="55835AE0" w14:textId="77777777">
        <w:trPr>
          <w:trHeight w:val="442"/>
        </w:trPr>
        <w:tc>
          <w:tcPr>
            <w:tcW w:w="6663" w:type="dxa"/>
            <w:vMerge/>
          </w:tcPr>
          <w:p w14:paraId="55835ADD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55835ADE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297">
              <w:rPr>
                <w:rFonts w:ascii="Times New Roman" w:hAnsi="Times New Roman" w:cs="Times New Roman"/>
                <w:sz w:val="16"/>
                <w:szCs w:val="16"/>
              </w:rPr>
              <w:t>ČVS:ORP-425/3-VYS-TT-2013</w:t>
            </w:r>
          </w:p>
          <w:p w14:paraId="55835ADF" w14:textId="77777777" w:rsidR="00746E28" w:rsidRPr="00257297" w:rsidRDefault="00746E28" w:rsidP="00380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vznesené obvinenie 1 osobe</w:t>
            </w:r>
          </w:p>
        </w:tc>
      </w:tr>
      <w:tr w:rsidR="00746E28" w:rsidRPr="00257297" w14:paraId="55835AE4" w14:textId="77777777">
        <w:trPr>
          <w:trHeight w:val="442"/>
        </w:trPr>
        <w:tc>
          <w:tcPr>
            <w:tcW w:w="6663" w:type="dxa"/>
            <w:vMerge/>
          </w:tcPr>
          <w:p w14:paraId="55835AE1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55835AE2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297">
              <w:rPr>
                <w:rFonts w:ascii="Times New Roman" w:hAnsi="Times New Roman" w:cs="Times New Roman"/>
                <w:sz w:val="16"/>
                <w:szCs w:val="16"/>
              </w:rPr>
              <w:t>ČVS: ORP-756/OEK-PO-2013</w:t>
            </w:r>
          </w:p>
          <w:p w14:paraId="55835AE3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297">
              <w:rPr>
                <w:rFonts w:ascii="Times New Roman" w:hAnsi="Times New Roman" w:cs="Times New Roman"/>
                <w:sz w:val="16"/>
                <w:szCs w:val="16"/>
              </w:rPr>
              <w:t xml:space="preserve">vznesené obvinenie 2 osobám </w:t>
            </w:r>
          </w:p>
        </w:tc>
      </w:tr>
      <w:tr w:rsidR="00746E28" w:rsidRPr="00257297" w14:paraId="55835AE7" w14:textId="77777777">
        <w:tc>
          <w:tcPr>
            <w:tcW w:w="6663" w:type="dxa"/>
          </w:tcPr>
          <w:p w14:paraId="55835AE5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Odmietnutie začatia trestného stíhania podľa § 197 ods. 1 písm. d) Trestného poriadku</w:t>
            </w:r>
          </w:p>
        </w:tc>
        <w:tc>
          <w:tcPr>
            <w:tcW w:w="2441" w:type="dxa"/>
          </w:tcPr>
          <w:p w14:paraId="55835AE6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E28" w:rsidRPr="00257297" w14:paraId="55835AEA" w14:textId="77777777">
        <w:tc>
          <w:tcPr>
            <w:tcW w:w="6663" w:type="dxa"/>
          </w:tcPr>
          <w:p w14:paraId="55835AE8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Zaistenie peňažných prostriedkov v zmysle § 95 Trestného poriadku</w:t>
            </w:r>
          </w:p>
        </w:tc>
        <w:tc>
          <w:tcPr>
            <w:tcW w:w="2441" w:type="dxa"/>
          </w:tcPr>
          <w:p w14:paraId="55835AE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E28" w:rsidRPr="00257297" w14:paraId="55835AED" w14:textId="77777777">
        <w:tc>
          <w:tcPr>
            <w:tcW w:w="6663" w:type="dxa"/>
          </w:tcPr>
          <w:p w14:paraId="55835AEB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Celková hodnota zaistených peňažných prostriedkov</w:t>
            </w:r>
          </w:p>
        </w:tc>
        <w:tc>
          <w:tcPr>
            <w:tcW w:w="2441" w:type="dxa"/>
          </w:tcPr>
          <w:p w14:paraId="55835AE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5.691.638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EUR</w:t>
            </w:r>
          </w:p>
        </w:tc>
      </w:tr>
    </w:tbl>
    <w:p w14:paraId="55835AEE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EF" w14:textId="77777777" w:rsidR="00746E28" w:rsidRPr="002258BC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C">
        <w:rPr>
          <w:rFonts w:ascii="Times New Roman" w:hAnsi="Times New Roman" w:cs="Times New Roman"/>
          <w:sz w:val="24"/>
          <w:szCs w:val="24"/>
        </w:rPr>
        <w:lastRenderedPageBreak/>
        <w:t>Za účelom ods</w:t>
      </w:r>
      <w:r>
        <w:rPr>
          <w:rFonts w:ascii="Times New Roman" w:hAnsi="Times New Roman" w:cs="Times New Roman"/>
          <w:sz w:val="24"/>
          <w:szCs w:val="24"/>
        </w:rPr>
        <w:t>tránenia nedostatku spočívajúceho</w:t>
      </w:r>
      <w:r w:rsidRPr="002258BC">
        <w:rPr>
          <w:rFonts w:ascii="Times New Roman" w:hAnsi="Times New Roman" w:cs="Times New Roman"/>
          <w:sz w:val="24"/>
          <w:szCs w:val="24"/>
        </w:rPr>
        <w:t xml:space="preserve"> v neexistencii zosúladeného a zjednoteného štatistického výstupu za všetky orgány verejnej moci k počtu prípadov </w:t>
      </w:r>
      <w:r>
        <w:rPr>
          <w:rFonts w:ascii="Times New Roman" w:hAnsi="Times New Roman" w:cs="Times New Roman"/>
          <w:sz w:val="24"/>
          <w:szCs w:val="24"/>
        </w:rPr>
        <w:t>legalizácie príjmov z trestnej činnosti</w:t>
      </w:r>
      <w:r w:rsidRPr="002258BC">
        <w:rPr>
          <w:rFonts w:ascii="Times New Roman" w:hAnsi="Times New Roman" w:cs="Times New Roman"/>
          <w:sz w:val="24"/>
          <w:szCs w:val="24"/>
        </w:rPr>
        <w:t xml:space="preserve"> a financovania terorizmu identifikovaných, následne </w:t>
      </w:r>
      <w:r w:rsidRPr="00391278">
        <w:rPr>
          <w:rFonts w:ascii="Times New Roman" w:hAnsi="Times New Roman" w:cs="Times New Roman"/>
          <w:sz w:val="24"/>
          <w:szCs w:val="24"/>
        </w:rPr>
        <w:t>stíhaných, obžalovaných a odsúdených osôb, na ktorý poukázal výbor Rady Európy</w:t>
      </w:r>
      <w:r w:rsidRPr="002258BC">
        <w:rPr>
          <w:rFonts w:ascii="Times New Roman" w:hAnsi="Times New Roman" w:cs="Times New Roman"/>
          <w:sz w:val="24"/>
          <w:szCs w:val="24"/>
        </w:rPr>
        <w:t xml:space="preserve"> MONEYVAL v správe zo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258BC">
        <w:rPr>
          <w:rFonts w:ascii="Times New Roman" w:hAnsi="Times New Roman" w:cs="Times New Roman"/>
          <w:sz w:val="24"/>
          <w:szCs w:val="24"/>
        </w:rPr>
        <w:t xml:space="preserve"> hodnotiacej návštev</w:t>
      </w:r>
      <w:r>
        <w:rPr>
          <w:rFonts w:ascii="Times New Roman" w:hAnsi="Times New Roman" w:cs="Times New Roman"/>
          <w:sz w:val="24"/>
          <w:szCs w:val="24"/>
        </w:rPr>
        <w:t>y SR</w:t>
      </w:r>
      <w:r w:rsidRPr="002258BC">
        <w:rPr>
          <w:rFonts w:ascii="Times New Roman" w:hAnsi="Times New Roman" w:cs="Times New Roman"/>
          <w:sz w:val="24"/>
          <w:szCs w:val="24"/>
        </w:rPr>
        <w:t xml:space="preserve">, spracovala FSJ do uceleného výstupu štatistické </w:t>
      </w:r>
      <w:r w:rsidRPr="00391278">
        <w:rPr>
          <w:rFonts w:ascii="Times New Roman" w:hAnsi="Times New Roman" w:cs="Times New Roman"/>
          <w:sz w:val="24"/>
          <w:szCs w:val="24"/>
        </w:rPr>
        <w:t>údaje (viď tabuľka č.8) poskytnuté útvarmi PZ, Kriminálnym úradom Finančnej správy SR,</w:t>
      </w:r>
      <w:r w:rsidRPr="002258BC">
        <w:rPr>
          <w:rFonts w:ascii="Times New Roman" w:hAnsi="Times New Roman" w:cs="Times New Roman"/>
          <w:sz w:val="24"/>
          <w:szCs w:val="24"/>
        </w:rPr>
        <w:t xml:space="preserve"> Generálnou prokuratúrou SR a Ministerstvom spravodlivosti SR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8BC">
        <w:rPr>
          <w:rFonts w:ascii="Times New Roman" w:hAnsi="Times New Roman" w:cs="Times New Roman"/>
          <w:sz w:val="24"/>
          <w:szCs w:val="24"/>
        </w:rPr>
        <w:t xml:space="preserve"> týkajúce sa počtu objasnených prípadov trestných činov legalizácie príjmov z trestnej činnosti a počtu osôb stíhaných, obžalovaných a následne právoplatne odsúdených za tento trestný čin v roku 201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258BC">
        <w:rPr>
          <w:rFonts w:ascii="Times New Roman" w:hAnsi="Times New Roman" w:cs="Times New Roman"/>
          <w:sz w:val="24"/>
          <w:szCs w:val="24"/>
        </w:rPr>
        <w:t>V nadväznosti na charakter štatistických výstupov poskytnutých Generálnou prokuratúrou SR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8BC">
        <w:rPr>
          <w:rFonts w:ascii="Times New Roman" w:hAnsi="Times New Roman" w:cs="Times New Roman"/>
          <w:sz w:val="24"/>
          <w:szCs w:val="24"/>
        </w:rPr>
        <w:t xml:space="preserve">Ministerstvom spravodlivosti SR bude </w:t>
      </w:r>
      <w:r>
        <w:rPr>
          <w:rFonts w:ascii="Times New Roman" w:hAnsi="Times New Roman" w:cs="Times New Roman"/>
          <w:sz w:val="24"/>
          <w:szCs w:val="24"/>
        </w:rPr>
        <w:t>v záujme zosúladenia</w:t>
      </w:r>
      <w:r w:rsidRPr="002258BC">
        <w:rPr>
          <w:rFonts w:ascii="Times New Roman" w:hAnsi="Times New Roman" w:cs="Times New Roman"/>
          <w:sz w:val="24"/>
          <w:szCs w:val="24"/>
        </w:rPr>
        <w:t xml:space="preserve"> týchto výstupov so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8BC">
        <w:rPr>
          <w:rFonts w:ascii="Times New Roman" w:hAnsi="Times New Roman" w:cs="Times New Roman"/>
          <w:sz w:val="24"/>
          <w:szCs w:val="24"/>
        </w:rPr>
        <w:t>zhromažďovanými štatistickými údajmi útvarmi polície nutné v nasledujúcom období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8BC">
        <w:rPr>
          <w:rFonts w:ascii="Times New Roman" w:hAnsi="Times New Roman" w:cs="Times New Roman"/>
          <w:sz w:val="24"/>
          <w:szCs w:val="24"/>
        </w:rPr>
        <w:t>úrovni útvarov PZ sledovať tiež počet skutkov v jednot</w:t>
      </w:r>
      <w:r>
        <w:rPr>
          <w:rFonts w:ascii="Times New Roman" w:hAnsi="Times New Roman" w:cs="Times New Roman"/>
          <w:sz w:val="24"/>
          <w:szCs w:val="24"/>
        </w:rPr>
        <w:t>livých realizovaných prípadoch.</w:t>
      </w:r>
    </w:p>
    <w:p w14:paraId="55835AF0" w14:textId="77777777" w:rsidR="00746E28" w:rsidRPr="002258BC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C">
        <w:rPr>
          <w:rFonts w:ascii="Times New Roman" w:hAnsi="Times New Roman" w:cs="Times New Roman"/>
          <w:sz w:val="24"/>
          <w:szCs w:val="24"/>
        </w:rPr>
        <w:t>Zo štatistického prehľadu zachytávajúceho postih trestného činu legalizácie príjmov z trestnej činnosti je zrejmé, že oproti roku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8BC">
        <w:rPr>
          <w:rFonts w:ascii="Times New Roman" w:hAnsi="Times New Roman" w:cs="Times New Roman"/>
          <w:sz w:val="24"/>
          <w:szCs w:val="24"/>
        </w:rPr>
        <w:t xml:space="preserve"> došlo v roku 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258BC">
        <w:rPr>
          <w:rFonts w:ascii="Times New Roman" w:hAnsi="Times New Roman" w:cs="Times New Roman"/>
          <w:sz w:val="24"/>
          <w:szCs w:val="24"/>
        </w:rPr>
        <w:t>k poklesu počtu podaných podnetov na trestné stíhanie príslušníkmi kriminálnej polície o</w:t>
      </w:r>
      <w:r>
        <w:rPr>
          <w:rFonts w:ascii="Times New Roman" w:hAnsi="Times New Roman" w:cs="Times New Roman"/>
          <w:sz w:val="24"/>
          <w:szCs w:val="24"/>
        </w:rPr>
        <w:t xml:space="preserve"> 18 </w:t>
      </w:r>
      <w:r w:rsidRPr="002258BC">
        <w:rPr>
          <w:rFonts w:ascii="Times New Roman" w:hAnsi="Times New Roman" w:cs="Times New Roman"/>
          <w:sz w:val="24"/>
          <w:szCs w:val="24"/>
        </w:rPr>
        <w:t>vecí</w:t>
      </w:r>
      <w:r>
        <w:rPr>
          <w:rFonts w:ascii="Times New Roman" w:hAnsi="Times New Roman" w:cs="Times New Roman"/>
          <w:sz w:val="24"/>
          <w:szCs w:val="24"/>
        </w:rPr>
        <w:t xml:space="preserve"> a počtu rozhodnutí o začatí trestného stíhania o 36 vecí</w:t>
      </w:r>
      <w:r w:rsidRPr="002258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258BC">
        <w:rPr>
          <w:rFonts w:ascii="Times New Roman" w:hAnsi="Times New Roman" w:cs="Times New Roman"/>
          <w:sz w:val="24"/>
          <w:szCs w:val="24"/>
        </w:rPr>
        <w:t xml:space="preserve"> ostatných sledovaných ukazovateľoch bol zaznamenaný </w:t>
      </w:r>
      <w:r>
        <w:rPr>
          <w:rFonts w:ascii="Times New Roman" w:hAnsi="Times New Roman" w:cs="Times New Roman"/>
          <w:sz w:val="24"/>
          <w:szCs w:val="24"/>
        </w:rPr>
        <w:t>nárast</w:t>
      </w:r>
      <w:r w:rsidRPr="002258BC">
        <w:rPr>
          <w:rFonts w:ascii="Times New Roman" w:hAnsi="Times New Roman" w:cs="Times New Roman"/>
          <w:sz w:val="24"/>
          <w:szCs w:val="24"/>
        </w:rPr>
        <w:t xml:space="preserve"> oproti roku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8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Stúpol počet obžalovaných osôb (o 20 osôb) a osôb s ktorými prokurátor uzatvoril dohodu o vine a trestne (o 2 osoby). </w:t>
      </w:r>
      <w:r w:rsidRPr="002258BC">
        <w:rPr>
          <w:rFonts w:ascii="Times New Roman" w:hAnsi="Times New Roman" w:cs="Times New Roman"/>
          <w:sz w:val="24"/>
          <w:szCs w:val="24"/>
        </w:rPr>
        <w:t>Za trestný čin legalizácie príjmov z trestnej činnosti podľa § 233 T</w:t>
      </w:r>
      <w:r>
        <w:rPr>
          <w:rFonts w:ascii="Times New Roman" w:hAnsi="Times New Roman" w:cs="Times New Roman"/>
          <w:sz w:val="24"/>
          <w:szCs w:val="24"/>
        </w:rPr>
        <w:t>restného zákona bolo v roku 2013</w:t>
      </w:r>
      <w:r w:rsidRPr="002258BC">
        <w:rPr>
          <w:rFonts w:ascii="Times New Roman" w:hAnsi="Times New Roman" w:cs="Times New Roman"/>
          <w:sz w:val="24"/>
          <w:szCs w:val="24"/>
        </w:rPr>
        <w:t xml:space="preserve"> právoplatne odsúdených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8BC">
        <w:rPr>
          <w:rFonts w:ascii="Times New Roman" w:hAnsi="Times New Roman" w:cs="Times New Roman"/>
          <w:sz w:val="24"/>
          <w:szCs w:val="24"/>
        </w:rPr>
        <w:t xml:space="preserve"> osôb (o jednu osobu viac ako tomu bolo v predchádzajúcom roku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5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2258BC">
        <w:rPr>
          <w:rFonts w:ascii="Times New Roman" w:hAnsi="Times New Roman" w:cs="Times New Roman"/>
          <w:sz w:val="24"/>
          <w:szCs w:val="24"/>
        </w:rPr>
        <w:t> roku 201</w:t>
      </w:r>
      <w:r>
        <w:rPr>
          <w:rFonts w:ascii="Times New Roman" w:hAnsi="Times New Roman" w:cs="Times New Roman"/>
          <w:sz w:val="24"/>
          <w:szCs w:val="24"/>
        </w:rPr>
        <w:t>3 nebol identifikovaný ani jeden prípad financovania terorizmu.</w:t>
      </w:r>
    </w:p>
    <w:p w14:paraId="55835AF1" w14:textId="77777777" w:rsidR="00746E28" w:rsidRPr="002258BC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C">
        <w:rPr>
          <w:rFonts w:ascii="Times New Roman" w:hAnsi="Times New Roman" w:cs="Times New Roman"/>
          <w:sz w:val="24"/>
          <w:szCs w:val="24"/>
        </w:rPr>
        <w:t>Pre získanie prehľadu o rozsahu uplatňovania vybraných zaisťovacích inštitútov Trestného poriadku v trestnom konaní v roku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8BC">
        <w:rPr>
          <w:rFonts w:ascii="Times New Roman" w:hAnsi="Times New Roman" w:cs="Times New Roman"/>
          <w:sz w:val="24"/>
          <w:szCs w:val="24"/>
        </w:rPr>
        <w:t xml:space="preserve"> pri všetkých trestných činoch a samostatne pri trestných činoch legalizácie príjmov z trestnej činnosti bol spracovaný štatistický prehľad </w:t>
      </w:r>
      <w:r w:rsidRPr="00391278">
        <w:rPr>
          <w:rFonts w:ascii="Times New Roman" w:hAnsi="Times New Roman" w:cs="Times New Roman"/>
          <w:sz w:val="24"/>
          <w:szCs w:val="24"/>
        </w:rPr>
        <w:t>v tabuľke č. 7.</w:t>
      </w:r>
      <w:r w:rsidRPr="0022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podklad</w:t>
      </w:r>
      <w:r w:rsidRPr="002258BC">
        <w:rPr>
          <w:rFonts w:ascii="Times New Roman" w:hAnsi="Times New Roman" w:cs="Times New Roman"/>
          <w:sz w:val="24"/>
          <w:szCs w:val="24"/>
        </w:rPr>
        <w:t xml:space="preserve"> pre jej spracovanie slúžili štatistické ukazovatele poskytnuté všetkými vyššie označenými subjektmi.</w:t>
      </w:r>
    </w:p>
    <w:p w14:paraId="55835AF2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BC">
        <w:rPr>
          <w:rFonts w:ascii="Times New Roman" w:hAnsi="Times New Roman" w:cs="Times New Roman"/>
          <w:sz w:val="24"/>
          <w:szCs w:val="24"/>
        </w:rPr>
        <w:t>Porovnaním štatistického prehľadu o</w:t>
      </w:r>
      <w:r>
        <w:rPr>
          <w:rFonts w:ascii="Times New Roman" w:hAnsi="Times New Roman" w:cs="Times New Roman"/>
          <w:sz w:val="24"/>
          <w:szCs w:val="24"/>
        </w:rPr>
        <w:t xml:space="preserve"> rozsahu aplikácie</w:t>
      </w:r>
      <w:r w:rsidRPr="002258BC">
        <w:rPr>
          <w:rFonts w:ascii="Times New Roman" w:hAnsi="Times New Roman" w:cs="Times New Roman"/>
          <w:sz w:val="24"/>
          <w:szCs w:val="24"/>
        </w:rPr>
        <w:t xml:space="preserve"> zaisťovacích inštitútov vo vzťahu ku všetkým trestným činom bol v roku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8BC">
        <w:rPr>
          <w:rFonts w:ascii="Times New Roman" w:hAnsi="Times New Roman" w:cs="Times New Roman"/>
          <w:sz w:val="24"/>
          <w:szCs w:val="24"/>
        </w:rPr>
        <w:t xml:space="preserve"> zaznamenaný nárast </w:t>
      </w:r>
      <w:r>
        <w:rPr>
          <w:rFonts w:ascii="Times New Roman" w:hAnsi="Times New Roman" w:cs="Times New Roman"/>
          <w:sz w:val="24"/>
          <w:szCs w:val="24"/>
        </w:rPr>
        <w:t>takmer pri všetkých sledovaných inštitútoch tak</w:t>
      </w:r>
      <w:r w:rsidRPr="002258BC">
        <w:rPr>
          <w:rFonts w:ascii="Times New Roman" w:hAnsi="Times New Roman" w:cs="Times New Roman"/>
          <w:sz w:val="24"/>
          <w:szCs w:val="24"/>
        </w:rPr>
        <w:t xml:space="preserve"> v počte prípadov</w:t>
      </w:r>
      <w:r>
        <w:rPr>
          <w:rFonts w:ascii="Times New Roman" w:hAnsi="Times New Roman" w:cs="Times New Roman"/>
          <w:sz w:val="24"/>
          <w:szCs w:val="24"/>
        </w:rPr>
        <w:t>, ako</w:t>
      </w:r>
      <w:r w:rsidRPr="002258BC">
        <w:rPr>
          <w:rFonts w:ascii="Times New Roman" w:hAnsi="Times New Roman" w:cs="Times New Roman"/>
          <w:sz w:val="24"/>
          <w:szCs w:val="24"/>
        </w:rPr>
        <w:t xml:space="preserve"> aj v hodnote zaisteného majetku, majetkových hodnôt a peňažných prostriedkov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8BC">
        <w:rPr>
          <w:rFonts w:ascii="Times New Roman" w:hAnsi="Times New Roman" w:cs="Times New Roman"/>
          <w:sz w:val="24"/>
          <w:szCs w:val="24"/>
        </w:rPr>
        <w:t xml:space="preserve"> </w:t>
      </w:r>
      <w:r w:rsidRPr="00391278">
        <w:rPr>
          <w:rFonts w:ascii="Times New Roman" w:hAnsi="Times New Roman" w:cs="Times New Roman"/>
          <w:sz w:val="24"/>
          <w:szCs w:val="24"/>
        </w:rPr>
        <w:t>len pri postupe podľa § 89 Trestného poriadku (povinnosť na vydanie veci), podľa § 91 Trestného poriadku (odňatie veci)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1278">
        <w:rPr>
          <w:rFonts w:ascii="Times New Roman" w:hAnsi="Times New Roman" w:cs="Times New Roman"/>
          <w:sz w:val="24"/>
          <w:szCs w:val="24"/>
        </w:rPr>
        <w:t> podľa 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1278">
        <w:rPr>
          <w:rFonts w:ascii="Times New Roman" w:hAnsi="Times New Roman" w:cs="Times New Roman"/>
          <w:sz w:val="24"/>
          <w:szCs w:val="24"/>
        </w:rPr>
        <w:t>92 Trestného poriadku (prevzatie zaistenej veci)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91278">
        <w:rPr>
          <w:rFonts w:ascii="Times New Roman" w:hAnsi="Times New Roman" w:cs="Times New Roman"/>
          <w:sz w:val="24"/>
          <w:szCs w:val="24"/>
        </w:rPr>
        <w:t> podľa § 96 Trestného poriadku (zaistenie zaknihovaných cenných papierov) bol zaznamenaný pokles.</w:t>
      </w:r>
    </w:p>
    <w:p w14:paraId="55835AF3" w14:textId="77777777" w:rsidR="00746E28" w:rsidRDefault="00746E28" w:rsidP="0037793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Pr="002258BC">
        <w:rPr>
          <w:rFonts w:ascii="Times New Roman" w:hAnsi="Times New Roman" w:cs="Times New Roman"/>
          <w:sz w:val="24"/>
          <w:szCs w:val="24"/>
        </w:rPr>
        <w:t>tabuľky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94C">
        <w:rPr>
          <w:rFonts w:ascii="Times New Roman" w:hAnsi="Times New Roman" w:cs="Times New Roman"/>
          <w:sz w:val="24"/>
          <w:szCs w:val="24"/>
        </w:rPr>
        <w:t>č.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BC">
        <w:rPr>
          <w:rFonts w:ascii="Times New Roman" w:hAnsi="Times New Roman" w:cs="Times New Roman"/>
          <w:sz w:val="24"/>
          <w:szCs w:val="24"/>
        </w:rPr>
        <w:t xml:space="preserve">možno zároveň vyvodiť </w:t>
      </w:r>
      <w:r>
        <w:rPr>
          <w:rFonts w:ascii="Times New Roman" w:hAnsi="Times New Roman" w:cs="Times New Roman"/>
          <w:sz w:val="24"/>
          <w:szCs w:val="24"/>
        </w:rPr>
        <w:t>záver</w:t>
      </w:r>
      <w:r w:rsidRPr="002258BC">
        <w:rPr>
          <w:rFonts w:ascii="Times New Roman" w:hAnsi="Times New Roman" w:cs="Times New Roman"/>
          <w:sz w:val="24"/>
          <w:szCs w:val="24"/>
        </w:rPr>
        <w:t xml:space="preserve">, že podiel zaisťovacích inštitútov Trestného poriadku </w:t>
      </w:r>
      <w:r>
        <w:rPr>
          <w:rFonts w:ascii="Times New Roman" w:hAnsi="Times New Roman" w:cs="Times New Roman"/>
          <w:sz w:val="24"/>
          <w:szCs w:val="24"/>
        </w:rPr>
        <w:t>použitých</w:t>
      </w:r>
      <w:r w:rsidRPr="002258BC">
        <w:rPr>
          <w:rFonts w:ascii="Times New Roman" w:hAnsi="Times New Roman" w:cs="Times New Roman"/>
          <w:sz w:val="24"/>
          <w:szCs w:val="24"/>
        </w:rPr>
        <w:t xml:space="preserve"> v súvislosti s realizáciou trestného konania pre trestný čin legalizácie príjmov z trestnej činnosti na celkovej </w:t>
      </w:r>
      <w:r>
        <w:rPr>
          <w:rFonts w:ascii="Times New Roman" w:hAnsi="Times New Roman" w:cs="Times New Roman"/>
          <w:sz w:val="24"/>
          <w:szCs w:val="24"/>
        </w:rPr>
        <w:t xml:space="preserve">aplikácií </w:t>
      </w:r>
      <w:r w:rsidRPr="002258BC">
        <w:rPr>
          <w:rFonts w:ascii="Times New Roman" w:hAnsi="Times New Roman" w:cs="Times New Roman"/>
          <w:sz w:val="24"/>
          <w:szCs w:val="24"/>
        </w:rPr>
        <w:t xml:space="preserve">týchto inštitútov v rámci trestného </w:t>
      </w:r>
      <w:r>
        <w:rPr>
          <w:rFonts w:ascii="Times New Roman" w:hAnsi="Times New Roman" w:cs="Times New Roman"/>
          <w:sz w:val="24"/>
          <w:szCs w:val="24"/>
        </w:rPr>
        <w:t>konania pre všetky trestné činy</w:t>
      </w:r>
      <w:r w:rsidRPr="002258BC">
        <w:rPr>
          <w:rFonts w:ascii="Times New Roman" w:hAnsi="Times New Roman" w:cs="Times New Roman"/>
          <w:sz w:val="24"/>
          <w:szCs w:val="24"/>
        </w:rPr>
        <w:t xml:space="preserve"> uvedené v osobitnej časti Tre</w:t>
      </w:r>
      <w:r>
        <w:rPr>
          <w:rFonts w:ascii="Times New Roman" w:hAnsi="Times New Roman" w:cs="Times New Roman"/>
          <w:sz w:val="24"/>
          <w:szCs w:val="24"/>
        </w:rPr>
        <w:t>stného zákona je len minimálny.</w:t>
      </w:r>
    </w:p>
    <w:p w14:paraId="55835AF4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F5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F6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F7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F8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AF9" w14:textId="77777777" w:rsidR="00746E28" w:rsidRDefault="00746E28" w:rsidP="00B26C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Tabuľka č.7: Štatisticky prehľad </w:t>
      </w:r>
      <w:r w:rsidRPr="002258BC">
        <w:rPr>
          <w:rFonts w:ascii="Times New Roman" w:hAnsi="Times New Roman" w:cs="Times New Roman"/>
          <w:sz w:val="20"/>
          <w:szCs w:val="20"/>
        </w:rPr>
        <w:t>rozsahu uplatňovania vybraných zaisťovacích inštitútov Trestného poriad</w:t>
      </w:r>
      <w:r>
        <w:rPr>
          <w:rFonts w:ascii="Times New Roman" w:hAnsi="Times New Roman" w:cs="Times New Roman"/>
          <w:sz w:val="20"/>
          <w:szCs w:val="20"/>
        </w:rPr>
        <w:t>ku v trestnom konaní v roku 2013</w:t>
      </w:r>
      <w:r w:rsidRPr="002258BC">
        <w:rPr>
          <w:rFonts w:ascii="Times New Roman" w:hAnsi="Times New Roman" w:cs="Times New Roman"/>
          <w:sz w:val="20"/>
          <w:szCs w:val="20"/>
        </w:rPr>
        <w:t xml:space="preserve"> pri všetkých trestných činoch a  pri trestných činoch legalizácie príjmov z trestnej činnosti</w:t>
      </w:r>
      <w:r>
        <w:rPr>
          <w:rFonts w:ascii="Times New Roman" w:hAnsi="Times New Roman" w:cs="Times New Roman"/>
          <w:sz w:val="20"/>
          <w:szCs w:val="20"/>
        </w:rPr>
        <w:t xml:space="preserve"> podľa § 233 a § 234 Trestného zákona</w:t>
      </w:r>
    </w:p>
    <w:p w14:paraId="55835AFA" w14:textId="77777777" w:rsidR="00746E28" w:rsidRPr="00B26C91" w:rsidRDefault="00746E28" w:rsidP="00B2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2565"/>
        <w:gridCol w:w="1539"/>
        <w:gridCol w:w="1568"/>
        <w:gridCol w:w="1150"/>
        <w:gridCol w:w="1842"/>
      </w:tblGrid>
      <w:tr w:rsidR="00746E28" w:rsidRPr="00103AD4" w14:paraId="55835AFF" w14:textId="77777777">
        <w:trPr>
          <w:trHeight w:val="510"/>
        </w:trPr>
        <w:tc>
          <w:tcPr>
            <w:tcW w:w="510" w:type="dxa"/>
            <w:vMerge w:val="restart"/>
          </w:tcPr>
          <w:p w14:paraId="55835AFB" w14:textId="77777777" w:rsidR="00746E28" w:rsidRPr="00103AD4" w:rsidRDefault="00746E28" w:rsidP="003A0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55835AFC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ustanovenia</w:t>
            </w:r>
          </w:p>
        </w:tc>
        <w:tc>
          <w:tcPr>
            <w:tcW w:w="3107" w:type="dxa"/>
            <w:gridSpan w:val="2"/>
            <w:vAlign w:val="center"/>
          </w:tcPr>
          <w:p w14:paraId="55835AFD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Všetky TČ</w:t>
            </w:r>
          </w:p>
        </w:tc>
        <w:tc>
          <w:tcPr>
            <w:tcW w:w="2992" w:type="dxa"/>
            <w:gridSpan w:val="2"/>
            <w:vAlign w:val="center"/>
          </w:tcPr>
          <w:p w14:paraId="55835AFE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TČ § 233 a 234 TZ</w:t>
            </w:r>
          </w:p>
        </w:tc>
      </w:tr>
      <w:tr w:rsidR="00746E28" w:rsidRPr="00103AD4" w14:paraId="55835B06" w14:textId="77777777">
        <w:trPr>
          <w:trHeight w:val="510"/>
        </w:trPr>
        <w:tc>
          <w:tcPr>
            <w:tcW w:w="510" w:type="dxa"/>
            <w:vMerge/>
            <w:shd w:val="clear" w:color="auto" w:fill="E5DFEC"/>
            <w:vAlign w:val="center"/>
          </w:tcPr>
          <w:p w14:paraId="55835B00" w14:textId="77777777" w:rsidR="00746E28" w:rsidRPr="00103AD4" w:rsidRDefault="00746E28" w:rsidP="003A0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E5DFEC"/>
            <w:vAlign w:val="center"/>
          </w:tcPr>
          <w:p w14:paraId="55835B01" w14:textId="77777777" w:rsidR="00746E28" w:rsidRPr="00103AD4" w:rsidRDefault="00746E28" w:rsidP="003A0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5835B02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prípadov</w:t>
            </w:r>
          </w:p>
        </w:tc>
        <w:tc>
          <w:tcPr>
            <w:tcW w:w="1568" w:type="dxa"/>
            <w:vAlign w:val="center"/>
          </w:tcPr>
          <w:p w14:paraId="55835B03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celková hodnota 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150" w:type="dxa"/>
            <w:vAlign w:val="center"/>
          </w:tcPr>
          <w:p w14:paraId="55835B04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prípadov</w:t>
            </w:r>
          </w:p>
        </w:tc>
        <w:tc>
          <w:tcPr>
            <w:tcW w:w="1842" w:type="dxa"/>
            <w:vAlign w:val="center"/>
          </w:tcPr>
          <w:p w14:paraId="55835B05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celková hodnota 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746E28" w:rsidRPr="00103AD4" w14:paraId="55835B0D" w14:textId="77777777">
        <w:tc>
          <w:tcPr>
            <w:tcW w:w="510" w:type="dxa"/>
          </w:tcPr>
          <w:p w14:paraId="55835B07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55835B08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§ 89 Povinnosť na vydanie veci, § 91 Odňatie veci, § 92 Prevzatie zaistenej veci</w:t>
            </w:r>
          </w:p>
        </w:tc>
        <w:tc>
          <w:tcPr>
            <w:tcW w:w="1539" w:type="dxa"/>
          </w:tcPr>
          <w:p w14:paraId="55835B09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7.782</w:t>
            </w:r>
          </w:p>
        </w:tc>
        <w:tc>
          <w:tcPr>
            <w:tcW w:w="1568" w:type="dxa"/>
          </w:tcPr>
          <w:p w14:paraId="55835B0A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9.181.789</w:t>
            </w:r>
          </w:p>
        </w:tc>
        <w:tc>
          <w:tcPr>
            <w:tcW w:w="1150" w:type="dxa"/>
          </w:tcPr>
          <w:p w14:paraId="55835B0B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14:paraId="55835B0C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2.066.638</w:t>
            </w:r>
          </w:p>
        </w:tc>
      </w:tr>
      <w:tr w:rsidR="00746E28" w:rsidRPr="00103AD4" w14:paraId="55835B14" w14:textId="77777777">
        <w:tc>
          <w:tcPr>
            <w:tcW w:w="510" w:type="dxa"/>
          </w:tcPr>
          <w:p w14:paraId="55835B0E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55835B0F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§ 95 Zaistenie peňažných prostriedkov</w:t>
            </w:r>
          </w:p>
        </w:tc>
        <w:tc>
          <w:tcPr>
            <w:tcW w:w="1539" w:type="dxa"/>
          </w:tcPr>
          <w:p w14:paraId="55835B10" w14:textId="77777777" w:rsidR="00746E28" w:rsidRPr="00103AD4" w:rsidRDefault="000C1ADF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8" w:type="dxa"/>
          </w:tcPr>
          <w:p w14:paraId="55835B11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6.220.255</w:t>
            </w:r>
          </w:p>
        </w:tc>
        <w:tc>
          <w:tcPr>
            <w:tcW w:w="1150" w:type="dxa"/>
          </w:tcPr>
          <w:p w14:paraId="55835B12" w14:textId="77777777" w:rsidR="00746E28" w:rsidRPr="00103AD4" w:rsidRDefault="000C1ADF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55835B13" w14:textId="77777777" w:rsidR="00746E28" w:rsidRPr="00103AD4" w:rsidRDefault="000C1ADF" w:rsidP="000C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5.827</w:t>
            </w:r>
            <w:r w:rsidR="00746E28" w:rsidRPr="0010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746E28" w:rsidRPr="00103AD4" w14:paraId="55835B1B" w14:textId="77777777">
        <w:tc>
          <w:tcPr>
            <w:tcW w:w="510" w:type="dxa"/>
          </w:tcPr>
          <w:p w14:paraId="55835B15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55835B16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§ 96 Zaistenie zaknihovaných cenných papierov</w:t>
            </w:r>
          </w:p>
        </w:tc>
        <w:tc>
          <w:tcPr>
            <w:tcW w:w="1539" w:type="dxa"/>
          </w:tcPr>
          <w:p w14:paraId="55835B17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14:paraId="55835B18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0" w:type="dxa"/>
          </w:tcPr>
          <w:p w14:paraId="55835B19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5835B1A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E28" w:rsidRPr="00103AD4" w14:paraId="55835B22" w14:textId="77777777">
        <w:tc>
          <w:tcPr>
            <w:tcW w:w="510" w:type="dxa"/>
          </w:tcPr>
          <w:p w14:paraId="55835B1C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55835B1D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§ 97 Vrátenie veci</w:t>
            </w:r>
          </w:p>
        </w:tc>
        <w:tc>
          <w:tcPr>
            <w:tcW w:w="1539" w:type="dxa"/>
          </w:tcPr>
          <w:p w14:paraId="55835B1E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4.072</w:t>
            </w:r>
          </w:p>
        </w:tc>
        <w:tc>
          <w:tcPr>
            <w:tcW w:w="1568" w:type="dxa"/>
          </w:tcPr>
          <w:p w14:paraId="55835B1F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4.933.857</w:t>
            </w:r>
          </w:p>
        </w:tc>
        <w:tc>
          <w:tcPr>
            <w:tcW w:w="1150" w:type="dxa"/>
          </w:tcPr>
          <w:p w14:paraId="55835B20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14:paraId="55835B21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576.290</w:t>
            </w:r>
          </w:p>
        </w:tc>
      </w:tr>
      <w:tr w:rsidR="00746E28" w:rsidRPr="00103AD4" w14:paraId="55835B29" w14:textId="77777777">
        <w:tc>
          <w:tcPr>
            <w:tcW w:w="510" w:type="dxa"/>
          </w:tcPr>
          <w:p w14:paraId="55835B23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55835B24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§ 550 Odovzdanie veci (právna pomoc vo vzťahu k cudzine)</w:t>
            </w:r>
          </w:p>
        </w:tc>
        <w:tc>
          <w:tcPr>
            <w:tcW w:w="1539" w:type="dxa"/>
          </w:tcPr>
          <w:p w14:paraId="55835B25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8" w:type="dxa"/>
          </w:tcPr>
          <w:p w14:paraId="55835B26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2.690.397</w:t>
            </w:r>
          </w:p>
        </w:tc>
        <w:tc>
          <w:tcPr>
            <w:tcW w:w="1150" w:type="dxa"/>
          </w:tcPr>
          <w:p w14:paraId="55835B27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5835B28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E28" w:rsidRPr="009407D4" w14:paraId="55835B30" w14:textId="77777777">
        <w:tc>
          <w:tcPr>
            <w:tcW w:w="510" w:type="dxa"/>
          </w:tcPr>
          <w:p w14:paraId="55835B2A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5" w:type="dxa"/>
          </w:tcPr>
          <w:p w14:paraId="55835B2B" w14:textId="77777777" w:rsidR="00746E28" w:rsidRPr="00103AD4" w:rsidRDefault="00746E28" w:rsidP="003A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§ 551 Zaistenie majetku (právna pomoc vo vzťahu k cudzine)</w:t>
            </w:r>
          </w:p>
        </w:tc>
        <w:tc>
          <w:tcPr>
            <w:tcW w:w="1539" w:type="dxa"/>
          </w:tcPr>
          <w:p w14:paraId="55835B2C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8" w:type="dxa"/>
          </w:tcPr>
          <w:p w14:paraId="55835B2D" w14:textId="77777777" w:rsidR="00746E28" w:rsidRPr="00103AD4" w:rsidRDefault="00746E28" w:rsidP="003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135.379</w:t>
            </w:r>
          </w:p>
        </w:tc>
        <w:tc>
          <w:tcPr>
            <w:tcW w:w="1150" w:type="dxa"/>
          </w:tcPr>
          <w:p w14:paraId="55835B2E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5835B2F" w14:textId="77777777" w:rsidR="00746E28" w:rsidRPr="00103AD4" w:rsidRDefault="00746E28" w:rsidP="003A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835B31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2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3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4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5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6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7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8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9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</w:pPr>
    </w:p>
    <w:p w14:paraId="55835B3A" w14:textId="77777777" w:rsidR="00746E28" w:rsidRDefault="00746E28" w:rsidP="00E03231">
      <w:pPr>
        <w:rPr>
          <w:rFonts w:ascii="Times New Roman" w:hAnsi="Times New Roman" w:cs="Times New Roman"/>
          <w:sz w:val="24"/>
          <w:szCs w:val="24"/>
        </w:rPr>
        <w:sectPr w:rsidR="00746E28" w:rsidSect="009843AC">
          <w:headerReference w:type="default" r:id="rId13"/>
          <w:footerReference w:type="default" r:id="rId14"/>
          <w:headerReference w:type="first" r:id="rId15"/>
          <w:pgSz w:w="11906" w:h="16838" w:code="9"/>
          <w:pgMar w:top="1420" w:right="1418" w:bottom="1418" w:left="1418" w:header="709" w:footer="75" w:gutter="0"/>
          <w:cols w:space="708"/>
          <w:titlePg/>
          <w:docGrid w:linePitch="360"/>
        </w:sectPr>
      </w:pPr>
    </w:p>
    <w:p w14:paraId="55835B3B" w14:textId="77777777" w:rsidR="00746E28" w:rsidRDefault="00746E28" w:rsidP="00F2794C">
      <w:pPr>
        <w:rPr>
          <w:rFonts w:ascii="Times New Roman" w:hAnsi="Times New Roman" w:cs="Times New Roman"/>
          <w:sz w:val="20"/>
          <w:szCs w:val="20"/>
        </w:rPr>
      </w:pPr>
      <w:r w:rsidRPr="00FF2E7E">
        <w:rPr>
          <w:rFonts w:ascii="Times New Roman" w:hAnsi="Times New Roman" w:cs="Times New Roman"/>
          <w:sz w:val="20"/>
          <w:szCs w:val="20"/>
        </w:rPr>
        <w:lastRenderedPageBreak/>
        <w:t>Tabuľka č.8: Štatistické údaje k trestných činom legalizácie príjmov z trestnej činnosti podľa § 233 a 234 Trestného zákona</w:t>
      </w:r>
    </w:p>
    <w:tbl>
      <w:tblPr>
        <w:tblpPr w:leftFromText="141" w:rightFromText="141" w:vertAnchor="page" w:horzAnchor="margin" w:tblpY="2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983"/>
        <w:gridCol w:w="850"/>
        <w:gridCol w:w="590"/>
        <w:gridCol w:w="590"/>
        <w:gridCol w:w="1118"/>
        <w:gridCol w:w="590"/>
        <w:gridCol w:w="590"/>
        <w:gridCol w:w="1118"/>
        <w:gridCol w:w="759"/>
        <w:gridCol w:w="416"/>
        <w:gridCol w:w="316"/>
        <w:gridCol w:w="759"/>
        <w:gridCol w:w="416"/>
        <w:gridCol w:w="316"/>
        <w:gridCol w:w="759"/>
        <w:gridCol w:w="590"/>
        <w:gridCol w:w="866"/>
        <w:gridCol w:w="759"/>
        <w:gridCol w:w="590"/>
        <w:gridCol w:w="801"/>
      </w:tblGrid>
      <w:tr w:rsidR="00746E28" w14:paraId="55835B41" w14:textId="77777777" w:rsidTr="00FF2E7E">
        <w:trPr>
          <w:trHeight w:val="135"/>
        </w:trPr>
        <w:tc>
          <w:tcPr>
            <w:tcW w:w="560" w:type="dxa"/>
            <w:vMerge w:val="restart"/>
          </w:tcPr>
          <w:p w14:paraId="55835B3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33" w:type="dxa"/>
            <w:gridSpan w:val="2"/>
            <w:vMerge w:val="restart"/>
          </w:tcPr>
          <w:p w14:paraId="55835B3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Ustanovenie Trestného poriadku</w:t>
            </w:r>
          </w:p>
        </w:tc>
        <w:tc>
          <w:tcPr>
            <w:tcW w:w="4602" w:type="dxa"/>
            <w:gridSpan w:val="6"/>
          </w:tcPr>
          <w:p w14:paraId="55835B3E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MV SR</w:t>
            </w:r>
          </w:p>
        </w:tc>
        <w:tc>
          <w:tcPr>
            <w:tcW w:w="2889" w:type="dxa"/>
            <w:gridSpan w:val="6"/>
          </w:tcPr>
          <w:p w14:paraId="55835B3F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GP SR</w:t>
            </w:r>
          </w:p>
        </w:tc>
        <w:tc>
          <w:tcPr>
            <w:tcW w:w="4334" w:type="dxa"/>
            <w:gridSpan w:val="6"/>
          </w:tcPr>
          <w:p w14:paraId="55835B40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MS SR</w:t>
            </w:r>
          </w:p>
        </w:tc>
      </w:tr>
      <w:tr w:rsidR="00746E28" w14:paraId="55835B4A" w14:textId="77777777" w:rsidTr="00FF2E7E">
        <w:trPr>
          <w:trHeight w:val="135"/>
        </w:trPr>
        <w:tc>
          <w:tcPr>
            <w:tcW w:w="0" w:type="auto"/>
            <w:vMerge/>
            <w:vAlign w:val="center"/>
          </w:tcPr>
          <w:p w14:paraId="55835B4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5835B4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dxa"/>
            <w:gridSpan w:val="3"/>
          </w:tcPr>
          <w:p w14:paraId="55835B44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2012</w:t>
            </w:r>
          </w:p>
        </w:tc>
        <w:tc>
          <w:tcPr>
            <w:tcW w:w="2301" w:type="dxa"/>
            <w:gridSpan w:val="3"/>
          </w:tcPr>
          <w:p w14:paraId="55835B45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2013</w:t>
            </w:r>
          </w:p>
        </w:tc>
        <w:tc>
          <w:tcPr>
            <w:tcW w:w="1460" w:type="dxa"/>
            <w:gridSpan w:val="3"/>
          </w:tcPr>
          <w:p w14:paraId="55835B46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2012</w:t>
            </w:r>
          </w:p>
        </w:tc>
        <w:tc>
          <w:tcPr>
            <w:tcW w:w="1429" w:type="dxa"/>
            <w:gridSpan w:val="3"/>
          </w:tcPr>
          <w:p w14:paraId="55835B47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2013</w:t>
            </w:r>
          </w:p>
        </w:tc>
        <w:tc>
          <w:tcPr>
            <w:tcW w:w="2115" w:type="dxa"/>
            <w:gridSpan w:val="3"/>
          </w:tcPr>
          <w:p w14:paraId="55835B48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2012</w:t>
            </w:r>
          </w:p>
        </w:tc>
        <w:tc>
          <w:tcPr>
            <w:tcW w:w="2219" w:type="dxa"/>
            <w:gridSpan w:val="3"/>
          </w:tcPr>
          <w:p w14:paraId="55835B49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2013</w:t>
            </w:r>
          </w:p>
        </w:tc>
      </w:tr>
      <w:tr w:rsidR="00746E28" w14:paraId="55835B5D" w14:textId="77777777" w:rsidTr="00FF2E7E">
        <w:trPr>
          <w:trHeight w:val="135"/>
        </w:trPr>
        <w:tc>
          <w:tcPr>
            <w:tcW w:w="0" w:type="auto"/>
            <w:vMerge/>
            <w:vAlign w:val="center"/>
          </w:tcPr>
          <w:p w14:paraId="55835B4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5835B4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dxa"/>
          </w:tcPr>
          <w:p w14:paraId="55835B4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vecí</w:t>
            </w:r>
          </w:p>
        </w:tc>
        <w:tc>
          <w:tcPr>
            <w:tcW w:w="590" w:type="dxa"/>
          </w:tcPr>
          <w:p w14:paraId="55835B4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osôb</w:t>
            </w:r>
          </w:p>
        </w:tc>
        <w:tc>
          <w:tcPr>
            <w:tcW w:w="1121" w:type="dxa"/>
          </w:tcPr>
          <w:p w14:paraId="55835B4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Škoda v eurách</w:t>
            </w:r>
          </w:p>
        </w:tc>
        <w:tc>
          <w:tcPr>
            <w:tcW w:w="590" w:type="dxa"/>
          </w:tcPr>
          <w:p w14:paraId="55835B5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vecí</w:t>
            </w:r>
          </w:p>
        </w:tc>
        <w:tc>
          <w:tcPr>
            <w:tcW w:w="590" w:type="dxa"/>
          </w:tcPr>
          <w:p w14:paraId="55835B5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osôb</w:t>
            </w:r>
          </w:p>
        </w:tc>
        <w:tc>
          <w:tcPr>
            <w:tcW w:w="1121" w:type="dxa"/>
          </w:tcPr>
          <w:p w14:paraId="55835B5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Škoda v eurách</w:t>
            </w:r>
          </w:p>
        </w:tc>
        <w:tc>
          <w:tcPr>
            <w:tcW w:w="759" w:type="dxa"/>
          </w:tcPr>
          <w:p w14:paraId="55835B5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skutkov</w:t>
            </w:r>
          </w:p>
        </w:tc>
        <w:tc>
          <w:tcPr>
            <w:tcW w:w="701" w:type="dxa"/>
            <w:gridSpan w:val="2"/>
          </w:tcPr>
          <w:p w14:paraId="55835B5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osôb</w:t>
            </w:r>
          </w:p>
        </w:tc>
        <w:tc>
          <w:tcPr>
            <w:tcW w:w="759" w:type="dxa"/>
          </w:tcPr>
          <w:p w14:paraId="55835B5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skutkov</w:t>
            </w:r>
          </w:p>
        </w:tc>
        <w:tc>
          <w:tcPr>
            <w:tcW w:w="670" w:type="dxa"/>
            <w:gridSpan w:val="2"/>
          </w:tcPr>
          <w:p w14:paraId="55835B56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osôb</w:t>
            </w:r>
          </w:p>
        </w:tc>
        <w:tc>
          <w:tcPr>
            <w:tcW w:w="759" w:type="dxa"/>
          </w:tcPr>
          <w:p w14:paraId="55835B5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skutkov</w:t>
            </w:r>
          </w:p>
        </w:tc>
        <w:tc>
          <w:tcPr>
            <w:tcW w:w="590" w:type="dxa"/>
          </w:tcPr>
          <w:p w14:paraId="55835B5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osôb</w:t>
            </w:r>
          </w:p>
        </w:tc>
        <w:tc>
          <w:tcPr>
            <w:tcW w:w="766" w:type="dxa"/>
          </w:tcPr>
          <w:p w14:paraId="55835B5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Škoda v eurách</w:t>
            </w:r>
          </w:p>
        </w:tc>
        <w:tc>
          <w:tcPr>
            <w:tcW w:w="759" w:type="dxa"/>
          </w:tcPr>
          <w:p w14:paraId="55835B5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skutkov</w:t>
            </w:r>
          </w:p>
        </w:tc>
        <w:tc>
          <w:tcPr>
            <w:tcW w:w="590" w:type="dxa"/>
          </w:tcPr>
          <w:p w14:paraId="55835B5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Počet osôb</w:t>
            </w:r>
          </w:p>
        </w:tc>
        <w:tc>
          <w:tcPr>
            <w:tcW w:w="870" w:type="dxa"/>
          </w:tcPr>
          <w:p w14:paraId="55835B5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Škoda v eurách</w:t>
            </w:r>
          </w:p>
        </w:tc>
      </w:tr>
      <w:tr w:rsidR="00746E28" w14:paraId="55835B70" w14:textId="77777777" w:rsidTr="00FF2E7E">
        <w:tc>
          <w:tcPr>
            <w:tcW w:w="560" w:type="dxa"/>
          </w:tcPr>
          <w:p w14:paraId="55835B5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3" w:type="dxa"/>
            <w:gridSpan w:val="2"/>
            <w:vAlign w:val="center"/>
          </w:tcPr>
          <w:p w14:paraId="55835B5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Podnet na trestné stíhania</w:t>
            </w:r>
          </w:p>
        </w:tc>
        <w:tc>
          <w:tcPr>
            <w:tcW w:w="590" w:type="dxa"/>
          </w:tcPr>
          <w:p w14:paraId="55835B6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90" w:type="dxa"/>
          </w:tcPr>
          <w:p w14:paraId="55835B6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21" w:type="dxa"/>
          </w:tcPr>
          <w:p w14:paraId="55835B6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2.096.290</w:t>
            </w:r>
          </w:p>
        </w:tc>
        <w:tc>
          <w:tcPr>
            <w:tcW w:w="590" w:type="dxa"/>
          </w:tcPr>
          <w:p w14:paraId="55835B6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0" w:type="dxa"/>
          </w:tcPr>
          <w:p w14:paraId="55835B6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21" w:type="dxa"/>
          </w:tcPr>
          <w:p w14:paraId="55835B6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6.054.246</w:t>
            </w:r>
          </w:p>
        </w:tc>
        <w:tc>
          <w:tcPr>
            <w:tcW w:w="759" w:type="dxa"/>
          </w:tcPr>
          <w:p w14:paraId="55835B66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B67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6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B6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6A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6B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6C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6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6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6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B83" w14:textId="77777777" w:rsidTr="00FF2E7E">
        <w:tc>
          <w:tcPr>
            <w:tcW w:w="560" w:type="dxa"/>
          </w:tcPr>
          <w:p w14:paraId="55835B7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3" w:type="dxa"/>
            <w:gridSpan w:val="2"/>
            <w:vAlign w:val="center"/>
          </w:tcPr>
          <w:p w14:paraId="55835B7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199 Začatie trestného stíhania</w:t>
            </w:r>
          </w:p>
        </w:tc>
        <w:tc>
          <w:tcPr>
            <w:tcW w:w="590" w:type="dxa"/>
          </w:tcPr>
          <w:p w14:paraId="55835B7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90" w:type="dxa"/>
          </w:tcPr>
          <w:p w14:paraId="55835B7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55835B7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27.152.664</w:t>
            </w:r>
          </w:p>
        </w:tc>
        <w:tc>
          <w:tcPr>
            <w:tcW w:w="590" w:type="dxa"/>
          </w:tcPr>
          <w:p w14:paraId="55835B76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90" w:type="dxa"/>
          </w:tcPr>
          <w:p w14:paraId="55835B7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55835B7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11.538.015</w:t>
            </w:r>
          </w:p>
        </w:tc>
        <w:tc>
          <w:tcPr>
            <w:tcW w:w="759" w:type="dxa"/>
          </w:tcPr>
          <w:p w14:paraId="55835B79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B7A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7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B7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7D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7E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7F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8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8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8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B96" w14:textId="77777777" w:rsidTr="00FF2E7E">
        <w:tc>
          <w:tcPr>
            <w:tcW w:w="560" w:type="dxa"/>
          </w:tcPr>
          <w:p w14:paraId="55835B8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3" w:type="dxa"/>
            <w:gridSpan w:val="2"/>
            <w:vAlign w:val="center"/>
          </w:tcPr>
          <w:p w14:paraId="55835B8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206 Vznesenie obvinenia</w:t>
            </w:r>
          </w:p>
        </w:tc>
        <w:tc>
          <w:tcPr>
            <w:tcW w:w="590" w:type="dxa"/>
          </w:tcPr>
          <w:p w14:paraId="55835B86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0" w:type="dxa"/>
          </w:tcPr>
          <w:p w14:paraId="55835B8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21" w:type="dxa"/>
          </w:tcPr>
          <w:p w14:paraId="55835B8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6.574.252</w:t>
            </w:r>
          </w:p>
        </w:tc>
        <w:tc>
          <w:tcPr>
            <w:tcW w:w="590" w:type="dxa"/>
          </w:tcPr>
          <w:p w14:paraId="55835B8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0" w:type="dxa"/>
          </w:tcPr>
          <w:p w14:paraId="55835B8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21" w:type="dxa"/>
          </w:tcPr>
          <w:p w14:paraId="55835B8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816.656</w:t>
            </w:r>
          </w:p>
        </w:tc>
        <w:tc>
          <w:tcPr>
            <w:tcW w:w="759" w:type="dxa"/>
          </w:tcPr>
          <w:p w14:paraId="55835B8C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B8D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8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B8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90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91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92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9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9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9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BA9" w14:textId="77777777" w:rsidTr="00FF2E7E">
        <w:tc>
          <w:tcPr>
            <w:tcW w:w="560" w:type="dxa"/>
          </w:tcPr>
          <w:p w14:paraId="55835B9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3" w:type="dxa"/>
            <w:gridSpan w:val="2"/>
            <w:vAlign w:val="center"/>
          </w:tcPr>
          <w:p w14:paraId="55835B9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209 Skončenie vyšetrovania a skráteného vyšetrovania s NPO</w:t>
            </w:r>
          </w:p>
        </w:tc>
        <w:tc>
          <w:tcPr>
            <w:tcW w:w="590" w:type="dxa"/>
          </w:tcPr>
          <w:p w14:paraId="55835B9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dxa"/>
          </w:tcPr>
          <w:p w14:paraId="55835B9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14:paraId="55835B9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171.259</w:t>
            </w:r>
          </w:p>
        </w:tc>
        <w:tc>
          <w:tcPr>
            <w:tcW w:w="590" w:type="dxa"/>
          </w:tcPr>
          <w:p w14:paraId="55835B9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0" w:type="dxa"/>
          </w:tcPr>
          <w:p w14:paraId="55835B9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1" w:type="dxa"/>
          </w:tcPr>
          <w:p w14:paraId="55835B9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3.047.526</w:t>
            </w:r>
          </w:p>
        </w:tc>
        <w:tc>
          <w:tcPr>
            <w:tcW w:w="759" w:type="dxa"/>
          </w:tcPr>
          <w:p w14:paraId="55835B9F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BA0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A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BA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A3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A4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A5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A6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A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A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BBC" w14:textId="77777777" w:rsidTr="00FF2E7E">
        <w:tc>
          <w:tcPr>
            <w:tcW w:w="560" w:type="dxa"/>
          </w:tcPr>
          <w:p w14:paraId="55835BA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3" w:type="dxa"/>
            <w:gridSpan w:val="2"/>
            <w:vAlign w:val="center"/>
          </w:tcPr>
          <w:p w14:paraId="55835BA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215 Zastavenie trestného stíhania</w:t>
            </w:r>
          </w:p>
        </w:tc>
        <w:tc>
          <w:tcPr>
            <w:tcW w:w="590" w:type="dxa"/>
          </w:tcPr>
          <w:p w14:paraId="55835BA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14:paraId="55835BA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55835BA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110.770</w:t>
            </w:r>
          </w:p>
        </w:tc>
        <w:tc>
          <w:tcPr>
            <w:tcW w:w="590" w:type="dxa"/>
          </w:tcPr>
          <w:p w14:paraId="55835BA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0" w:type="dxa"/>
          </w:tcPr>
          <w:p w14:paraId="55835BB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55835BB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26.604</w:t>
            </w:r>
          </w:p>
        </w:tc>
        <w:tc>
          <w:tcPr>
            <w:tcW w:w="759" w:type="dxa"/>
          </w:tcPr>
          <w:p w14:paraId="55835BB2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BB3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B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BB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B6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B7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B8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B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B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B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BCF" w14:textId="77777777" w:rsidTr="00FF2E7E">
        <w:tc>
          <w:tcPr>
            <w:tcW w:w="560" w:type="dxa"/>
          </w:tcPr>
          <w:p w14:paraId="55835BB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3" w:type="dxa"/>
            <w:gridSpan w:val="2"/>
            <w:vAlign w:val="center"/>
          </w:tcPr>
          <w:p w14:paraId="55835BB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228 ods. 1, 2 Prerušenie trestného stíhania</w:t>
            </w:r>
          </w:p>
        </w:tc>
        <w:tc>
          <w:tcPr>
            <w:tcW w:w="590" w:type="dxa"/>
          </w:tcPr>
          <w:p w14:paraId="55835BB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0" w:type="dxa"/>
          </w:tcPr>
          <w:p w14:paraId="55835BC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14:paraId="55835BC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546.114</w:t>
            </w:r>
          </w:p>
        </w:tc>
        <w:tc>
          <w:tcPr>
            <w:tcW w:w="590" w:type="dxa"/>
          </w:tcPr>
          <w:p w14:paraId="55835BC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0" w:type="dxa"/>
          </w:tcPr>
          <w:p w14:paraId="55835BC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14:paraId="55835BC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914.594</w:t>
            </w:r>
          </w:p>
        </w:tc>
        <w:tc>
          <w:tcPr>
            <w:tcW w:w="759" w:type="dxa"/>
          </w:tcPr>
          <w:p w14:paraId="55835BC5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BC6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C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BC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C9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CA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CB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C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C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C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BE2" w14:textId="77777777" w:rsidTr="00FF2E7E">
        <w:tc>
          <w:tcPr>
            <w:tcW w:w="560" w:type="dxa"/>
          </w:tcPr>
          <w:p w14:paraId="55835BD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33" w:type="dxa"/>
            <w:gridSpan w:val="2"/>
            <w:vAlign w:val="center"/>
          </w:tcPr>
          <w:p w14:paraId="55835BD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228 ods. 5 Pokračovanie v trestnom stíhaní</w:t>
            </w:r>
          </w:p>
        </w:tc>
        <w:tc>
          <w:tcPr>
            <w:tcW w:w="590" w:type="dxa"/>
          </w:tcPr>
          <w:p w14:paraId="55835BD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14:paraId="55835BD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55835BD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68.650</w:t>
            </w:r>
          </w:p>
        </w:tc>
        <w:tc>
          <w:tcPr>
            <w:tcW w:w="590" w:type="dxa"/>
          </w:tcPr>
          <w:p w14:paraId="55835BD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0" w:type="dxa"/>
          </w:tcPr>
          <w:p w14:paraId="55835BD6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55835BD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D8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BD9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D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BD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DC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DD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DE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BD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E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E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BF8" w14:textId="77777777">
        <w:tc>
          <w:tcPr>
            <w:tcW w:w="560" w:type="dxa"/>
          </w:tcPr>
          <w:p w14:paraId="55835BE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3" w:type="dxa"/>
            <w:vAlign w:val="center"/>
          </w:tcPr>
          <w:p w14:paraId="55835BE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234 Obžaloba </w:t>
            </w:r>
          </w:p>
        </w:tc>
        <w:tc>
          <w:tcPr>
            <w:tcW w:w="850" w:type="dxa"/>
            <w:vAlign w:val="center"/>
          </w:tcPr>
          <w:p w14:paraId="55835BE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331 Dohoda o vine a treste</w:t>
            </w:r>
          </w:p>
        </w:tc>
        <w:tc>
          <w:tcPr>
            <w:tcW w:w="590" w:type="dxa"/>
          </w:tcPr>
          <w:p w14:paraId="55835BE6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E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55835BE8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E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E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55835BE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55835BEC" w14:textId="77777777" w:rsidR="00746E28" w:rsidRPr="004B4C5C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dxa"/>
          </w:tcPr>
          <w:p w14:paraId="55835BE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5835BEE" w14:textId="77777777" w:rsidR="00746E28" w:rsidRPr="00BD1A87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14:paraId="55835BEF" w14:textId="77777777" w:rsidR="00746E28" w:rsidRDefault="00746E28" w:rsidP="00016D56">
            <w:pPr>
              <w:spacing w:after="0" w:line="240" w:lineRule="auto"/>
            </w:pPr>
            <w:r>
              <w:t>-</w:t>
            </w:r>
          </w:p>
        </w:tc>
        <w:tc>
          <w:tcPr>
            <w:tcW w:w="364" w:type="dxa"/>
          </w:tcPr>
          <w:p w14:paraId="55835BF0" w14:textId="77777777" w:rsidR="00746E28" w:rsidRPr="00BD1A87" w:rsidRDefault="00746E28" w:rsidP="00016D56">
            <w:pPr>
              <w:spacing w:after="0" w:line="240" w:lineRule="auto"/>
              <w:rPr>
                <w:b/>
                <w:bCs/>
              </w:rPr>
            </w:pPr>
            <w:r w:rsidRPr="00BD1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6" w:type="dxa"/>
          </w:tcPr>
          <w:p w14:paraId="55835BF1" w14:textId="77777777" w:rsidR="00746E28" w:rsidRPr="00BD1A87" w:rsidRDefault="00746E28" w:rsidP="00016D56">
            <w:pPr>
              <w:spacing w:after="0" w:line="240" w:lineRule="auto"/>
              <w:rPr>
                <w:b/>
                <w:bCs/>
              </w:rPr>
            </w:pPr>
            <w:r w:rsidRPr="00BD1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9" w:type="dxa"/>
          </w:tcPr>
          <w:p w14:paraId="55835BF2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F3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14:paraId="55835BF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55835BF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F6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55835BF7" w14:textId="77777777" w:rsidR="00746E28" w:rsidRDefault="00746E28" w:rsidP="00016D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E28" w14:paraId="55835C0B" w14:textId="77777777" w:rsidTr="00FF2E7E">
        <w:tc>
          <w:tcPr>
            <w:tcW w:w="560" w:type="dxa"/>
          </w:tcPr>
          <w:p w14:paraId="55835BF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33" w:type="dxa"/>
            <w:gridSpan w:val="2"/>
            <w:vAlign w:val="center"/>
          </w:tcPr>
          <w:p w14:paraId="55835BF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284 Rozsudok (právoplatný)</w:t>
            </w:r>
          </w:p>
        </w:tc>
        <w:tc>
          <w:tcPr>
            <w:tcW w:w="590" w:type="dxa"/>
          </w:tcPr>
          <w:p w14:paraId="55835BFB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FC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55835BFD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FE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BFF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55835C00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C01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</w:tcPr>
          <w:p w14:paraId="55835C02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C03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</w:tcPr>
          <w:p w14:paraId="55835C04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</w:tcPr>
          <w:p w14:paraId="55835C05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0" w:type="dxa"/>
          </w:tcPr>
          <w:p w14:paraId="55835C06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6" w:type="dxa"/>
          </w:tcPr>
          <w:p w14:paraId="55835C07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352.685</w:t>
            </w:r>
          </w:p>
        </w:tc>
        <w:tc>
          <w:tcPr>
            <w:tcW w:w="759" w:type="dxa"/>
          </w:tcPr>
          <w:p w14:paraId="55835C08" w14:textId="77777777" w:rsidR="00746E28" w:rsidRDefault="00746E28" w:rsidP="000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5835C09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0" w:type="dxa"/>
          </w:tcPr>
          <w:p w14:paraId="55835C0A" w14:textId="77777777" w:rsidR="00746E28" w:rsidRDefault="00746E28" w:rsidP="00016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41.895</w:t>
            </w:r>
          </w:p>
        </w:tc>
      </w:tr>
    </w:tbl>
    <w:p w14:paraId="55835C0C" w14:textId="77777777" w:rsidR="00746E28" w:rsidRDefault="00746E28" w:rsidP="003273C2">
      <w:pPr>
        <w:pStyle w:val="Nadpis1"/>
        <w:ind w:firstLine="720"/>
        <w:rPr>
          <w:rFonts w:ascii="Times New Roman" w:hAnsi="Times New Roman"/>
          <w:sz w:val="28"/>
          <w:szCs w:val="28"/>
        </w:rPr>
        <w:sectPr w:rsidR="00746E28" w:rsidSect="00FF2E7E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31" w:name="_Toc382129836"/>
      <w:bookmarkStart w:id="32" w:name="_Toc382129998"/>
      <w:bookmarkStart w:id="33" w:name="_Toc382130529"/>
    </w:p>
    <w:p w14:paraId="55835C0D" w14:textId="77777777" w:rsidR="00746E28" w:rsidRPr="00380837" w:rsidRDefault="00746E28" w:rsidP="003273C2">
      <w:pPr>
        <w:pStyle w:val="Nadpis1"/>
        <w:ind w:firstLine="720"/>
        <w:rPr>
          <w:rFonts w:ascii="Times New Roman" w:hAnsi="Times New Roman"/>
          <w:sz w:val="28"/>
          <w:szCs w:val="28"/>
        </w:rPr>
      </w:pPr>
      <w:bookmarkStart w:id="34" w:name="_Toc382141488"/>
      <w:bookmarkStart w:id="35" w:name="_Toc382141685"/>
      <w:r w:rsidRPr="00380837">
        <w:rPr>
          <w:rFonts w:ascii="Times New Roman" w:hAnsi="Times New Roman"/>
          <w:sz w:val="28"/>
          <w:szCs w:val="28"/>
        </w:rPr>
        <w:lastRenderedPageBreak/>
        <w:t>3. Kontrolná činnosť</w:t>
      </w:r>
      <w:bookmarkEnd w:id="31"/>
      <w:bookmarkEnd w:id="32"/>
      <w:bookmarkEnd w:id="33"/>
      <w:bookmarkEnd w:id="34"/>
      <w:bookmarkEnd w:id="35"/>
    </w:p>
    <w:p w14:paraId="55835C0E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0F" w14:textId="77777777" w:rsidR="00746E28" w:rsidRDefault="00746E28" w:rsidP="00E21E4D">
      <w:pPr>
        <w:spacing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Dôsledné dodržiavanie ustanovení zákona o ochrane pred legalizáciou povinnými osobami je nepochybne veľkým prínosom v</w:t>
      </w:r>
      <w:r>
        <w:rPr>
          <w:rFonts w:ascii="Times New Roman" w:hAnsi="Times New Roman" w:cs="Times New Roman"/>
          <w:sz w:val="24"/>
          <w:szCs w:val="24"/>
        </w:rPr>
        <w:t> boji proti legalizácii</w:t>
      </w:r>
      <w:r w:rsidRPr="00891BCC">
        <w:rPr>
          <w:rFonts w:ascii="Times New Roman" w:hAnsi="Times New Roman" w:cs="Times New Roman"/>
          <w:sz w:val="24"/>
          <w:szCs w:val="24"/>
        </w:rPr>
        <w:t xml:space="preserve"> príjmov z trestnej činnosti a financovania terorizmu, preto je dôležité vykonávať kontrolu plnenia a dodržiavania povinností determinova</w:t>
      </w:r>
      <w:r>
        <w:rPr>
          <w:rFonts w:ascii="Times New Roman" w:hAnsi="Times New Roman" w:cs="Times New Roman"/>
          <w:sz w:val="24"/>
          <w:szCs w:val="24"/>
        </w:rPr>
        <w:t>ných citovanou právnou úpravou.</w:t>
      </w:r>
    </w:p>
    <w:p w14:paraId="55835C10" w14:textId="77777777" w:rsidR="00746E28" w:rsidRPr="00891BCC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Vo vzťahu k povinným osobám (§ 5</w:t>
      </w:r>
      <w:r w:rsidRPr="00380A0A">
        <w:rPr>
          <w:rFonts w:ascii="Times New Roman" w:hAnsi="Times New Roman" w:cs="Times New Roman"/>
          <w:sz w:val="24"/>
          <w:szCs w:val="24"/>
        </w:rPr>
        <w:t xml:space="preserve"> </w:t>
      </w:r>
      <w:r w:rsidRPr="00891BCC">
        <w:rPr>
          <w:rFonts w:ascii="Times New Roman" w:hAnsi="Times New Roman" w:cs="Times New Roman"/>
          <w:sz w:val="24"/>
          <w:szCs w:val="24"/>
        </w:rPr>
        <w:t>zákona o ochrane pred legalizáciou) je FSJ kontrolným orgánom a v rozsahu určenom § 32 a 33 zákona o ochrane pred legalizáciou aj správnym orgánom. Kontroln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91BCC">
        <w:rPr>
          <w:rFonts w:ascii="Times New Roman" w:hAnsi="Times New Roman" w:cs="Times New Roman"/>
          <w:sz w:val="24"/>
          <w:szCs w:val="24"/>
        </w:rPr>
        <w:t xml:space="preserve"> činnosť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891BCC">
        <w:rPr>
          <w:rFonts w:ascii="Times New Roman" w:hAnsi="Times New Roman" w:cs="Times New Roman"/>
          <w:sz w:val="24"/>
          <w:szCs w:val="24"/>
        </w:rPr>
        <w:t xml:space="preserve"> realiz</w:t>
      </w:r>
      <w:r>
        <w:rPr>
          <w:rFonts w:ascii="Times New Roman" w:hAnsi="Times New Roman" w:cs="Times New Roman"/>
          <w:sz w:val="24"/>
          <w:szCs w:val="24"/>
        </w:rPr>
        <w:t>ovaná</w:t>
      </w:r>
      <w:r w:rsidRPr="00891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najmä </w:t>
      </w:r>
      <w:r w:rsidRPr="00891BCC">
        <w:rPr>
          <w:rFonts w:ascii="Times New Roman" w:hAnsi="Times New Roman" w:cs="Times New Roman"/>
          <w:sz w:val="24"/>
          <w:szCs w:val="24"/>
        </w:rPr>
        <w:t>na základe ročného plánu kontrol</w:t>
      </w:r>
      <w:r>
        <w:rPr>
          <w:rFonts w:ascii="Times New Roman" w:hAnsi="Times New Roman" w:cs="Times New Roman"/>
          <w:sz w:val="24"/>
          <w:szCs w:val="24"/>
        </w:rPr>
        <w:t>, na základe informácií od iných útvarov PZ a takisto na základe analýzy</w:t>
      </w:r>
      <w:r w:rsidRPr="00891BCC">
        <w:rPr>
          <w:rFonts w:ascii="Times New Roman" w:hAnsi="Times New Roman" w:cs="Times New Roman"/>
          <w:sz w:val="24"/>
          <w:szCs w:val="24"/>
        </w:rPr>
        <w:t xml:space="preserve">. Nezanedbateľným podkladom pre jeho </w:t>
      </w:r>
      <w:r>
        <w:rPr>
          <w:rFonts w:ascii="Times New Roman" w:hAnsi="Times New Roman" w:cs="Times New Roman"/>
          <w:sz w:val="24"/>
          <w:szCs w:val="24"/>
        </w:rPr>
        <w:t>zostavenie</w:t>
      </w:r>
      <w:r w:rsidRPr="00891BCC">
        <w:rPr>
          <w:rFonts w:ascii="Times New Roman" w:hAnsi="Times New Roman" w:cs="Times New Roman"/>
          <w:sz w:val="24"/>
          <w:szCs w:val="24"/>
        </w:rPr>
        <w:t xml:space="preserve"> je analýza poznatkov získaných v rámci ohlasovacej povinnosti a výsledkov kontrol z predchádzajúcich rokov.</w:t>
      </w:r>
    </w:p>
    <w:p w14:paraId="55835C11" w14:textId="77777777" w:rsidR="00746E28" w:rsidRPr="00891BCC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V roku 2013 </w:t>
      </w:r>
      <w:r>
        <w:rPr>
          <w:rFonts w:ascii="Times New Roman" w:hAnsi="Times New Roman" w:cs="Times New Roman"/>
          <w:sz w:val="24"/>
          <w:szCs w:val="24"/>
        </w:rPr>
        <w:t xml:space="preserve">boli kontroly povinných osôb zamerané </w:t>
      </w:r>
      <w:r w:rsidRPr="00891BCC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 xml:space="preserve">na kontrolu </w:t>
      </w:r>
      <w:r w:rsidRPr="00891BCC">
        <w:rPr>
          <w:rFonts w:ascii="Times New Roman" w:hAnsi="Times New Roman" w:cs="Times New Roman"/>
          <w:sz w:val="24"/>
          <w:szCs w:val="24"/>
          <w:lang w:eastAsia="ar-SA"/>
        </w:rPr>
        <w:t>plnenia a dodržiavania povinností vyplývajúcich povinnej osobe z ustanovení záko</w:t>
      </w:r>
      <w:r>
        <w:rPr>
          <w:rFonts w:ascii="Times New Roman" w:hAnsi="Times New Roman" w:cs="Times New Roman"/>
          <w:sz w:val="24"/>
          <w:szCs w:val="24"/>
          <w:lang w:eastAsia="ar-SA"/>
        </w:rPr>
        <w:t>na o ochrane pred legalizáciou:</w:t>
      </w:r>
    </w:p>
    <w:p w14:paraId="55835C12" w14:textId="77777777" w:rsidR="00746E28" w:rsidRPr="00891BCC" w:rsidRDefault="00746E28" w:rsidP="00E21E4D">
      <w:pPr>
        <w:pStyle w:val="Odsekzoznamu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Chars="323" w:left="1133" w:hangingChars="176" w:hanging="4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BCC">
        <w:rPr>
          <w:rFonts w:ascii="Times New Roman" w:hAnsi="Times New Roman" w:cs="Times New Roman"/>
          <w:sz w:val="24"/>
          <w:szCs w:val="24"/>
          <w:lang w:eastAsia="ar-SA"/>
        </w:rPr>
        <w:t>§ 2</w:t>
      </w:r>
      <w:r>
        <w:rPr>
          <w:rFonts w:ascii="Times New Roman" w:hAnsi="Times New Roman" w:cs="Times New Roman"/>
          <w:sz w:val="24"/>
          <w:szCs w:val="24"/>
          <w:lang w:eastAsia="ar-SA"/>
        </w:rPr>
        <w:t>0 – vypracovanie a aktualizácia</w:t>
      </w:r>
      <w:r w:rsidRPr="00891BCC">
        <w:rPr>
          <w:rFonts w:ascii="Times New Roman" w:hAnsi="Times New Roman" w:cs="Times New Roman"/>
          <w:sz w:val="24"/>
          <w:szCs w:val="24"/>
          <w:lang w:eastAsia="ar-SA"/>
        </w:rPr>
        <w:t xml:space="preserve"> programu vlastnej činnosti zameranej proti legalizácii a financovaniu terorizmu,</w:t>
      </w:r>
    </w:p>
    <w:p w14:paraId="55835C13" w14:textId="77777777" w:rsidR="00746E28" w:rsidRPr="00891BCC" w:rsidRDefault="00746E28" w:rsidP="00E21E4D">
      <w:pPr>
        <w:pStyle w:val="Odsekzoznamu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Chars="323" w:left="1133" w:hangingChars="176" w:hanging="4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BCC">
        <w:rPr>
          <w:rFonts w:ascii="Times New Roman" w:hAnsi="Times New Roman" w:cs="Times New Roman"/>
          <w:sz w:val="24"/>
          <w:szCs w:val="24"/>
          <w:lang w:eastAsia="ar-SA"/>
        </w:rPr>
        <w:t>§ 10 až 12 – vykonávanie starostlivosti povinnej osoby vo vzťahu ku klientovi,</w:t>
      </w:r>
    </w:p>
    <w:p w14:paraId="55835C14" w14:textId="77777777" w:rsidR="00746E28" w:rsidRPr="00891BCC" w:rsidRDefault="00746E28" w:rsidP="00E21E4D">
      <w:pPr>
        <w:pStyle w:val="Odsekzoznamu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Chars="323" w:left="1133" w:hangingChars="176" w:hanging="4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BCC">
        <w:rPr>
          <w:rFonts w:ascii="Times New Roman" w:hAnsi="Times New Roman" w:cs="Times New Roman"/>
          <w:sz w:val="24"/>
          <w:szCs w:val="24"/>
          <w:lang w:eastAsia="ar-SA"/>
        </w:rPr>
        <w:t>§ 14 až 18 – postup pri zisťovaní, posudzovaní, odmietnutí obchodu, zdržaní a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91BCC">
        <w:rPr>
          <w:rFonts w:ascii="Times New Roman" w:hAnsi="Times New Roman" w:cs="Times New Roman"/>
          <w:sz w:val="24"/>
          <w:szCs w:val="24"/>
          <w:lang w:eastAsia="ar-SA"/>
        </w:rPr>
        <w:t xml:space="preserve">ohlasovaní </w:t>
      </w:r>
      <w:r>
        <w:rPr>
          <w:rFonts w:ascii="Times New Roman" w:hAnsi="Times New Roman" w:cs="Times New Roman"/>
          <w:sz w:val="24"/>
          <w:szCs w:val="24"/>
          <w:lang w:eastAsia="ar-SA"/>
        </w:rPr>
        <w:t>NOO,</w:t>
      </w:r>
    </w:p>
    <w:p w14:paraId="55835C15" w14:textId="77777777" w:rsidR="00746E28" w:rsidRPr="00891BCC" w:rsidRDefault="00746E28" w:rsidP="00E21E4D">
      <w:pPr>
        <w:pStyle w:val="Odsekzoznamu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Chars="323" w:left="1133" w:hangingChars="176" w:hanging="4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BCC">
        <w:rPr>
          <w:rFonts w:ascii="Times New Roman" w:hAnsi="Times New Roman" w:cs="Times New Roman"/>
          <w:sz w:val="24"/>
          <w:szCs w:val="24"/>
          <w:lang w:eastAsia="ar-SA"/>
        </w:rPr>
        <w:t>iné porušenia ustanovení zákona zistené pri kontrole povinnej osoby.</w:t>
      </w:r>
    </w:p>
    <w:p w14:paraId="55835C16" w14:textId="77777777" w:rsidR="00746E28" w:rsidRPr="00891BCC" w:rsidRDefault="00746E28" w:rsidP="00703BD1">
      <w:pPr>
        <w:pStyle w:val="Odsekzoznamu"/>
        <w:suppressAutoHyphens/>
        <w:spacing w:before="100" w:beforeAutospacing="1" w:after="100" w:afterAutospacing="1" w:line="240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1BCC">
        <w:rPr>
          <w:rFonts w:ascii="Times New Roman" w:hAnsi="Times New Roman" w:cs="Times New Roman"/>
          <w:sz w:val="24"/>
          <w:szCs w:val="24"/>
          <w:lang w:eastAsia="sk-SK"/>
        </w:rPr>
        <w:t xml:space="preserve">V posudzovanom období FSJ vykonala celkovo 14 kontrol s výsledkom uvedeným </w:t>
      </w:r>
      <w:r w:rsidRPr="0045056D">
        <w:rPr>
          <w:rFonts w:ascii="Times New Roman" w:hAnsi="Times New Roman" w:cs="Times New Roman"/>
          <w:sz w:val="24"/>
          <w:szCs w:val="24"/>
          <w:lang w:eastAsia="sk-SK"/>
        </w:rPr>
        <w:t>v tab. č. 9.</w:t>
      </w:r>
      <w:r w:rsidRPr="0045056D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45056D">
        <w:rPr>
          <w:rFonts w:ascii="Times New Roman" w:hAnsi="Times New Roman" w:cs="Times New Roman"/>
          <w:sz w:val="24"/>
          <w:szCs w:val="24"/>
          <w:lang w:eastAsia="sk-SK"/>
        </w:rPr>
        <w:t>V stĺpci zaplatené v </w:t>
      </w:r>
      <w:r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Pr="0045056D">
        <w:rPr>
          <w:rFonts w:ascii="Times New Roman" w:hAnsi="Times New Roman" w:cs="Times New Roman"/>
          <w:sz w:val="24"/>
          <w:szCs w:val="24"/>
          <w:lang w:eastAsia="sk-SK"/>
        </w:rPr>
        <w:t xml:space="preserve"> sú v sume 42.700 zahrnuté pokuty uložené za zistené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 xml:space="preserve"> správne delikty v rokoch 2012 a 2013. V hodnotenom období bol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 xml:space="preserve"> dvoch prípadoch podaný návrh na odobratie oprávnenia na podnikateľskú činnosť v súlade s § 34 zákona o ochrane pred legalizáciou.</w:t>
      </w:r>
    </w:p>
    <w:p w14:paraId="55835C17" w14:textId="77777777" w:rsidR="00746E28" w:rsidRPr="00703BD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835C18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03AD4">
        <w:rPr>
          <w:rFonts w:ascii="Times New Roman" w:hAnsi="Times New Roman" w:cs="Times New Roman"/>
          <w:sz w:val="20"/>
          <w:szCs w:val="20"/>
          <w:lang w:eastAsia="sk-SK"/>
        </w:rPr>
        <w:t xml:space="preserve">Tabuľka č. </w:t>
      </w:r>
      <w:r>
        <w:rPr>
          <w:rFonts w:ascii="Times New Roman" w:hAnsi="Times New Roman" w:cs="Times New Roman"/>
          <w:sz w:val="20"/>
          <w:szCs w:val="20"/>
          <w:lang w:eastAsia="sk-SK"/>
        </w:rPr>
        <w:t>9</w:t>
      </w:r>
      <w:r w:rsidRPr="00103AD4">
        <w:rPr>
          <w:rFonts w:ascii="Times New Roman" w:hAnsi="Times New Roman" w:cs="Times New Roman"/>
          <w:sz w:val="20"/>
          <w:szCs w:val="20"/>
          <w:lang w:eastAsia="sk-SK"/>
        </w:rPr>
        <w:t>: Štatistické údaje o spôsobe ukončenia kontrol za rok 2013</w:t>
      </w:r>
    </w:p>
    <w:p w14:paraId="55835C19" w14:textId="77777777" w:rsidR="00746E28" w:rsidRPr="00B26C9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85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080"/>
        <w:gridCol w:w="1260"/>
        <w:gridCol w:w="1038"/>
        <w:gridCol w:w="1447"/>
        <w:gridCol w:w="1780"/>
        <w:gridCol w:w="1180"/>
      </w:tblGrid>
      <w:tr w:rsidR="00746E28" w:rsidRPr="00257297" w14:paraId="55835C1F" w14:textId="77777777">
        <w:trPr>
          <w:trHeight w:val="330"/>
        </w:trPr>
        <w:tc>
          <w:tcPr>
            <w:tcW w:w="730" w:type="dxa"/>
            <w:vMerge w:val="restart"/>
            <w:noWrap/>
            <w:vAlign w:val="center"/>
          </w:tcPr>
          <w:p w14:paraId="55835C1A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55835C1B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kontrol</w:t>
            </w:r>
          </w:p>
        </w:tc>
        <w:tc>
          <w:tcPr>
            <w:tcW w:w="3745" w:type="dxa"/>
            <w:gridSpan w:val="3"/>
            <w:noWrap/>
            <w:vAlign w:val="center"/>
          </w:tcPr>
          <w:p w14:paraId="55835C1C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Spôsob ukončenia</w:t>
            </w:r>
          </w:p>
        </w:tc>
        <w:tc>
          <w:tcPr>
            <w:tcW w:w="1780" w:type="dxa"/>
            <w:vMerge w:val="restart"/>
            <w:noWrap/>
            <w:vAlign w:val="center"/>
          </w:tcPr>
          <w:p w14:paraId="55835C1D" w14:textId="77777777" w:rsidR="00746E28" w:rsidRPr="00257297" w:rsidRDefault="00746E28" w:rsidP="00D5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Výška sankcií </w:t>
            </w: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br/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180" w:type="dxa"/>
            <w:vMerge w:val="restart"/>
            <w:noWrap/>
            <w:vAlign w:val="center"/>
          </w:tcPr>
          <w:p w14:paraId="55835C1E" w14:textId="77777777" w:rsidR="00746E28" w:rsidRPr="00257297" w:rsidRDefault="00746E28" w:rsidP="00D5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Zaplatené v 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  <w:tr w:rsidR="00746E28" w:rsidRPr="00257297" w14:paraId="55835C27" w14:textId="77777777">
        <w:trPr>
          <w:trHeight w:val="330"/>
        </w:trPr>
        <w:tc>
          <w:tcPr>
            <w:tcW w:w="730" w:type="dxa"/>
            <w:vMerge/>
            <w:vAlign w:val="center"/>
          </w:tcPr>
          <w:p w14:paraId="55835C20" w14:textId="77777777" w:rsidR="00746E28" w:rsidRPr="00257297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vMerge/>
            <w:vAlign w:val="center"/>
          </w:tcPr>
          <w:p w14:paraId="55835C21" w14:textId="77777777" w:rsidR="00746E28" w:rsidRPr="00257297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noWrap/>
            <w:vAlign w:val="center"/>
          </w:tcPr>
          <w:p w14:paraId="55835C22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Bez sankcie</w:t>
            </w:r>
          </w:p>
        </w:tc>
        <w:tc>
          <w:tcPr>
            <w:tcW w:w="1038" w:type="dxa"/>
            <w:noWrap/>
            <w:vAlign w:val="center"/>
          </w:tcPr>
          <w:p w14:paraId="55835C23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Sankcia</w:t>
            </w:r>
          </w:p>
        </w:tc>
        <w:tc>
          <w:tcPr>
            <w:tcW w:w="1447" w:type="dxa"/>
            <w:vAlign w:val="center"/>
          </w:tcPr>
          <w:p w14:paraId="55835C24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nerozhodnuté</w:t>
            </w:r>
          </w:p>
        </w:tc>
        <w:tc>
          <w:tcPr>
            <w:tcW w:w="1780" w:type="dxa"/>
            <w:vMerge/>
            <w:vAlign w:val="center"/>
          </w:tcPr>
          <w:p w14:paraId="55835C25" w14:textId="77777777" w:rsidR="00746E28" w:rsidRPr="00257297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0" w:type="dxa"/>
            <w:vMerge/>
            <w:vAlign w:val="center"/>
          </w:tcPr>
          <w:p w14:paraId="55835C26" w14:textId="77777777" w:rsidR="00746E28" w:rsidRPr="00257297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46E28" w:rsidRPr="00257297" w14:paraId="55835C2F" w14:textId="77777777">
        <w:trPr>
          <w:trHeight w:val="315"/>
        </w:trPr>
        <w:tc>
          <w:tcPr>
            <w:tcW w:w="730" w:type="dxa"/>
            <w:noWrap/>
            <w:vAlign w:val="bottom"/>
          </w:tcPr>
          <w:p w14:paraId="55835C28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080" w:type="dxa"/>
            <w:noWrap/>
            <w:vAlign w:val="bottom"/>
          </w:tcPr>
          <w:p w14:paraId="55835C29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60" w:type="dxa"/>
            <w:noWrap/>
            <w:vAlign w:val="bottom"/>
          </w:tcPr>
          <w:p w14:paraId="55835C2A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38" w:type="dxa"/>
            <w:noWrap/>
            <w:vAlign w:val="bottom"/>
          </w:tcPr>
          <w:p w14:paraId="55835C2B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47" w:type="dxa"/>
            <w:vAlign w:val="bottom"/>
          </w:tcPr>
          <w:p w14:paraId="55835C2C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0" w:type="dxa"/>
            <w:noWrap/>
            <w:vAlign w:val="bottom"/>
          </w:tcPr>
          <w:p w14:paraId="55835C2D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15.000</w:t>
            </w:r>
          </w:p>
        </w:tc>
        <w:tc>
          <w:tcPr>
            <w:tcW w:w="1180" w:type="dxa"/>
            <w:noWrap/>
            <w:vAlign w:val="bottom"/>
          </w:tcPr>
          <w:p w14:paraId="55835C2E" w14:textId="77777777" w:rsidR="00746E28" w:rsidRPr="00257297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sk-SK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42.700</w:t>
            </w:r>
          </w:p>
        </w:tc>
      </w:tr>
    </w:tbl>
    <w:p w14:paraId="55835C30" w14:textId="77777777" w:rsidR="00746E28" w:rsidRPr="00891BCC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835C31" w14:textId="77777777" w:rsidR="00746E28" w:rsidRDefault="00746E28" w:rsidP="00B27D0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Pri výkone kontrol boli najviac vyskytujúce sa nesplnenia povinností spojené s vypracovaním a aktualizáciou programu vlastnej činnosti zameranej proti legalizácii a financovania terorizmu, nesplnenia povinností týkajúce sa rozsahu vykonávania starostlivosti vo vzťahu ku klientovi a postupu pri zistení NOO.</w:t>
      </w:r>
    </w:p>
    <w:p w14:paraId="55835C32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835C33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03AD4">
        <w:rPr>
          <w:rFonts w:ascii="Times New Roman" w:hAnsi="Times New Roman" w:cs="Times New Roman"/>
          <w:sz w:val="20"/>
          <w:szCs w:val="20"/>
          <w:lang w:eastAsia="sk-SK"/>
        </w:rPr>
        <w:lastRenderedPageBreak/>
        <w:t>Tabuľka č.</w:t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 10:</w:t>
      </w:r>
      <w:r w:rsidRPr="00103AD4">
        <w:rPr>
          <w:rFonts w:ascii="Times New Roman" w:hAnsi="Times New Roman" w:cs="Times New Roman"/>
          <w:sz w:val="20"/>
          <w:szCs w:val="20"/>
          <w:lang w:eastAsia="sk-SK"/>
        </w:rPr>
        <w:t xml:space="preserve"> Štatistické údaje za rok 2013 o kontrolných zisteniach u povinných osôb rozde</w:t>
      </w:r>
      <w:r>
        <w:rPr>
          <w:rFonts w:ascii="Times New Roman" w:hAnsi="Times New Roman" w:cs="Times New Roman"/>
          <w:sz w:val="20"/>
          <w:szCs w:val="20"/>
          <w:lang w:eastAsia="sk-SK"/>
        </w:rPr>
        <w:t>lených podľa predmetu činnosti.</w:t>
      </w:r>
    </w:p>
    <w:p w14:paraId="55835C34" w14:textId="77777777" w:rsidR="00746E28" w:rsidRPr="00FF2E7E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901"/>
        <w:gridCol w:w="4219"/>
      </w:tblGrid>
      <w:tr w:rsidR="00746E28" w:rsidRPr="00257297" w14:paraId="55835C38" w14:textId="77777777">
        <w:trPr>
          <w:trHeight w:val="538"/>
        </w:trPr>
        <w:tc>
          <w:tcPr>
            <w:tcW w:w="3700" w:type="dxa"/>
            <w:vAlign w:val="center"/>
          </w:tcPr>
          <w:p w14:paraId="55835C35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Povinná osoba</w:t>
            </w:r>
          </w:p>
        </w:tc>
        <w:tc>
          <w:tcPr>
            <w:tcW w:w="901" w:type="dxa"/>
            <w:vAlign w:val="center"/>
          </w:tcPr>
          <w:p w14:paraId="55835C36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kontrol</w:t>
            </w:r>
          </w:p>
        </w:tc>
        <w:tc>
          <w:tcPr>
            <w:tcW w:w="4219" w:type="dxa"/>
            <w:vAlign w:val="center"/>
          </w:tcPr>
          <w:p w14:paraId="55835C37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Kontrolné zistenia </w:t>
            </w:r>
          </w:p>
        </w:tc>
      </w:tr>
      <w:tr w:rsidR="00746E28" w:rsidRPr="00257297" w14:paraId="55835C3E" w14:textId="77777777">
        <w:trPr>
          <w:trHeight w:val="298"/>
        </w:trPr>
        <w:tc>
          <w:tcPr>
            <w:tcW w:w="3700" w:type="dxa"/>
          </w:tcPr>
          <w:p w14:paraId="55835C39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Zmenáreň</w:t>
            </w:r>
          </w:p>
        </w:tc>
        <w:tc>
          <w:tcPr>
            <w:tcW w:w="901" w:type="dxa"/>
          </w:tcPr>
          <w:p w14:paraId="55835C3A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19" w:type="dxa"/>
          </w:tcPr>
          <w:p w14:paraId="55835C3B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neaktuálny program vlastnej činnosti</w:t>
            </w:r>
          </w:p>
          <w:p w14:paraId="55835C3C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porušenie povinnosti p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osudzovania obchodných operácií</w:t>
            </w:r>
          </w:p>
          <w:p w14:paraId="55835C3D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nesplnenie povinnosti vykonať starostlivosť vo vzťahu ku klientovi</w:t>
            </w:r>
          </w:p>
        </w:tc>
      </w:tr>
      <w:tr w:rsidR="00746E28" w:rsidRPr="00257297" w14:paraId="55835C43" w14:textId="77777777">
        <w:trPr>
          <w:trHeight w:val="508"/>
        </w:trPr>
        <w:tc>
          <w:tcPr>
            <w:tcW w:w="3700" w:type="dxa"/>
          </w:tcPr>
          <w:p w14:paraId="55835C3F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Leasing</w:t>
            </w:r>
          </w:p>
        </w:tc>
        <w:tc>
          <w:tcPr>
            <w:tcW w:w="901" w:type="dxa"/>
          </w:tcPr>
          <w:p w14:paraId="55835C40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19" w:type="dxa"/>
            <w:vAlign w:val="bottom"/>
          </w:tcPr>
          <w:p w14:paraId="55835C41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bez programu</w:t>
            </w:r>
          </w:p>
          <w:p w14:paraId="55835C42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neúplný program</w:t>
            </w:r>
          </w:p>
        </w:tc>
      </w:tr>
      <w:tr w:rsidR="00746E28" w:rsidRPr="00257297" w14:paraId="55835C48" w14:textId="77777777">
        <w:trPr>
          <w:trHeight w:val="356"/>
        </w:trPr>
        <w:tc>
          <w:tcPr>
            <w:tcW w:w="3700" w:type="dxa"/>
          </w:tcPr>
          <w:p w14:paraId="55835C44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Poskytovanie pôžičiek</w:t>
            </w:r>
          </w:p>
        </w:tc>
        <w:tc>
          <w:tcPr>
            <w:tcW w:w="901" w:type="dxa"/>
          </w:tcPr>
          <w:p w14:paraId="55835C45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19" w:type="dxa"/>
          </w:tcPr>
          <w:p w14:paraId="55835C46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neúplný program</w:t>
            </w:r>
          </w:p>
          <w:p w14:paraId="55835C47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porušenie povinnosti posudzovania obchodných operácií</w:t>
            </w:r>
          </w:p>
        </w:tc>
      </w:tr>
      <w:tr w:rsidR="00746E28" w:rsidRPr="00257297" w14:paraId="55835C4E" w14:textId="77777777">
        <w:trPr>
          <w:trHeight w:val="528"/>
        </w:trPr>
        <w:tc>
          <w:tcPr>
            <w:tcW w:w="3700" w:type="dxa"/>
          </w:tcPr>
          <w:p w14:paraId="55835C49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Organizačný a ekonomický poradca</w:t>
            </w:r>
          </w:p>
        </w:tc>
        <w:tc>
          <w:tcPr>
            <w:tcW w:w="901" w:type="dxa"/>
          </w:tcPr>
          <w:p w14:paraId="55835C4A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19" w:type="dxa"/>
          </w:tcPr>
          <w:p w14:paraId="55835C4B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bez programu,</w:t>
            </w:r>
          </w:p>
          <w:p w14:paraId="55835C4C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neúplný program</w:t>
            </w:r>
          </w:p>
          <w:p w14:paraId="55835C4D" w14:textId="77777777" w:rsidR="00746E28" w:rsidRPr="00891BCC" w:rsidRDefault="00746E28" w:rsidP="00814A2D">
            <w:pPr>
              <w:numPr>
                <w:ilvl w:val="0"/>
                <w:numId w:val="15"/>
              </w:numPr>
              <w:tabs>
                <w:tab w:val="clear" w:pos="729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neposkytnutie písomností</w:t>
            </w:r>
          </w:p>
        </w:tc>
      </w:tr>
      <w:tr w:rsidR="00746E28" w:rsidRPr="00257297" w14:paraId="55835C52" w14:textId="77777777">
        <w:trPr>
          <w:trHeight w:val="374"/>
        </w:trPr>
        <w:tc>
          <w:tcPr>
            <w:tcW w:w="3700" w:type="dxa"/>
          </w:tcPr>
          <w:p w14:paraId="55835C4F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Nezisková organizácia</w:t>
            </w:r>
          </w:p>
        </w:tc>
        <w:tc>
          <w:tcPr>
            <w:tcW w:w="901" w:type="dxa"/>
          </w:tcPr>
          <w:p w14:paraId="55835C50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19" w:type="dxa"/>
          </w:tcPr>
          <w:p w14:paraId="55835C51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bez nedostatkov</w:t>
            </w:r>
          </w:p>
        </w:tc>
      </w:tr>
      <w:tr w:rsidR="00746E28" w:rsidRPr="00257297" w14:paraId="55835C56" w14:textId="77777777">
        <w:trPr>
          <w:trHeight w:val="356"/>
        </w:trPr>
        <w:tc>
          <w:tcPr>
            <w:tcW w:w="3700" w:type="dxa"/>
          </w:tcPr>
          <w:p w14:paraId="55835C53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Obchodník s drahými kovmi</w:t>
            </w:r>
          </w:p>
        </w:tc>
        <w:tc>
          <w:tcPr>
            <w:tcW w:w="901" w:type="dxa"/>
          </w:tcPr>
          <w:p w14:paraId="55835C54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19" w:type="dxa"/>
          </w:tcPr>
          <w:p w14:paraId="55835C55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neúplný program</w:t>
            </w:r>
          </w:p>
        </w:tc>
      </w:tr>
      <w:tr w:rsidR="00746E28" w:rsidRPr="00257297" w14:paraId="55835C5D" w14:textId="77777777">
        <w:trPr>
          <w:trHeight w:val="352"/>
        </w:trPr>
        <w:tc>
          <w:tcPr>
            <w:tcW w:w="3700" w:type="dxa"/>
          </w:tcPr>
          <w:p w14:paraId="55835C57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Poisťovňa</w:t>
            </w:r>
          </w:p>
        </w:tc>
        <w:tc>
          <w:tcPr>
            <w:tcW w:w="901" w:type="dxa"/>
          </w:tcPr>
          <w:p w14:paraId="55835C58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19" w:type="dxa"/>
          </w:tcPr>
          <w:p w14:paraId="55835C59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neúplný program</w:t>
            </w:r>
          </w:p>
          <w:p w14:paraId="55835C5A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nesplnenie povinnosti vykonať starostlivosť vo vzťahu ku klientovi</w:t>
            </w:r>
          </w:p>
          <w:p w14:paraId="55835C5B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porušenie povinnosti p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osudzovania obchodných operácií</w:t>
            </w:r>
          </w:p>
          <w:p w14:paraId="55835C5C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neohlasovanie NOO</w:t>
            </w:r>
          </w:p>
        </w:tc>
      </w:tr>
      <w:tr w:rsidR="00746E28" w:rsidRPr="00257297" w14:paraId="55835C61" w14:textId="77777777">
        <w:trPr>
          <w:trHeight w:val="352"/>
        </w:trPr>
        <w:tc>
          <w:tcPr>
            <w:tcW w:w="3700" w:type="dxa"/>
          </w:tcPr>
          <w:p w14:paraId="55835C5E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Zasielateľstvo</w:t>
            </w:r>
          </w:p>
        </w:tc>
        <w:tc>
          <w:tcPr>
            <w:tcW w:w="901" w:type="dxa"/>
          </w:tcPr>
          <w:p w14:paraId="55835C5F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19" w:type="dxa"/>
          </w:tcPr>
          <w:p w14:paraId="55835C60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bez nedostatkov</w:t>
            </w:r>
          </w:p>
        </w:tc>
      </w:tr>
      <w:tr w:rsidR="00746E28" w:rsidRPr="00257297" w14:paraId="55835C68" w14:textId="77777777">
        <w:trPr>
          <w:trHeight w:val="528"/>
        </w:trPr>
        <w:tc>
          <w:tcPr>
            <w:tcW w:w="3700" w:type="dxa"/>
          </w:tcPr>
          <w:p w14:paraId="55835C62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Banka</w:t>
            </w:r>
          </w:p>
        </w:tc>
        <w:tc>
          <w:tcPr>
            <w:tcW w:w="901" w:type="dxa"/>
          </w:tcPr>
          <w:p w14:paraId="55835C63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19" w:type="dxa"/>
            <w:vAlign w:val="bottom"/>
          </w:tcPr>
          <w:p w14:paraId="55835C64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neúplný program</w:t>
            </w:r>
          </w:p>
          <w:p w14:paraId="55835C65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nesplnenie povinnosti vykonať starostlivosť vo vzťahu ku klientovi</w:t>
            </w:r>
          </w:p>
          <w:p w14:paraId="55835C66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porušenie povinnosti p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osudzovania obchodných operácií</w:t>
            </w:r>
          </w:p>
          <w:p w14:paraId="55835C67" w14:textId="77777777" w:rsidR="00746E28" w:rsidRPr="00891BCC" w:rsidRDefault="00746E28" w:rsidP="00814A2D">
            <w:pPr>
              <w:numPr>
                <w:ilvl w:val="0"/>
                <w:numId w:val="14"/>
              </w:numPr>
              <w:tabs>
                <w:tab w:val="clear" w:pos="720"/>
                <w:tab w:val="num" w:pos="549"/>
              </w:tabs>
              <w:spacing w:after="0"/>
              <w:ind w:left="549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neohlasovanie NOO</w:t>
            </w:r>
          </w:p>
        </w:tc>
      </w:tr>
      <w:tr w:rsidR="00746E28" w:rsidRPr="00257297" w14:paraId="55835C6C" w14:textId="77777777">
        <w:trPr>
          <w:trHeight w:val="528"/>
        </w:trPr>
        <w:tc>
          <w:tcPr>
            <w:tcW w:w="3700" w:type="dxa"/>
            <w:vAlign w:val="center"/>
          </w:tcPr>
          <w:p w14:paraId="55835C69" w14:textId="77777777" w:rsidR="00746E28" w:rsidRPr="00891BCC" w:rsidRDefault="00746E28" w:rsidP="007A3E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901" w:type="dxa"/>
            <w:vAlign w:val="center"/>
          </w:tcPr>
          <w:p w14:paraId="55835C6A" w14:textId="77777777" w:rsidR="00746E28" w:rsidRPr="00891BCC" w:rsidRDefault="00746E28" w:rsidP="007A3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91B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4219" w:type="dxa"/>
          </w:tcPr>
          <w:p w14:paraId="55835C6B" w14:textId="77777777" w:rsidR="00746E28" w:rsidRPr="00891BCC" w:rsidRDefault="00746E28" w:rsidP="007A3EA9">
            <w:pPr>
              <w:tabs>
                <w:tab w:val="num" w:pos="369"/>
              </w:tabs>
              <w:spacing w:after="0"/>
              <w:ind w:left="369" w:hanging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55835C6D" w14:textId="77777777" w:rsidR="00746E28" w:rsidRDefault="00746E28" w:rsidP="00814A2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6E" w14:textId="77777777" w:rsidR="00746E28" w:rsidRPr="00891BCC" w:rsidRDefault="00746E28" w:rsidP="00FF2E7E">
      <w:pPr>
        <w:suppressAutoHyphens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91BCC">
        <w:rPr>
          <w:rFonts w:ascii="Times New Roman" w:hAnsi="Times New Roman" w:cs="Times New Roman"/>
          <w:sz w:val="24"/>
          <w:szCs w:val="24"/>
          <w:lang w:eastAsia="sk-SK"/>
        </w:rPr>
        <w:t>Po vykonaní analýzy kontrolných zistení možno konštatovať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 xml:space="preserve">takmer trvalo nedostatočnú úroveň právneho vedomia povinných osôb, s výnimkou väčšiny úverových inštitúcií, preto sú kontroly zamerané okrem zisťovania nedostatkov, spôsobu plnenia povinností povinných osôb, aj na </w:t>
      </w:r>
      <w:r>
        <w:rPr>
          <w:rFonts w:ascii="Times New Roman" w:hAnsi="Times New Roman" w:cs="Times New Roman"/>
          <w:sz w:val="24"/>
          <w:szCs w:val="24"/>
          <w:lang w:eastAsia="sk-SK"/>
        </w:rPr>
        <w:t>usmernenia povinných osôb pri aplikácii zákona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 xml:space="preserve"> a hľadania optimálnych riešení zistených nedostatkov, najmä v súvislosti s vypracovaním programu 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vlastnej činnosti, spôsobu vykonávania starostlivosti ku klientom a posudzovania obchodov v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>zmysle záko</w:t>
      </w:r>
      <w:r>
        <w:rPr>
          <w:rFonts w:ascii="Times New Roman" w:hAnsi="Times New Roman" w:cs="Times New Roman"/>
          <w:sz w:val="24"/>
          <w:szCs w:val="24"/>
          <w:lang w:eastAsia="sk-SK"/>
        </w:rPr>
        <w:t>na o ochrane pred legalizáciou.</w:t>
      </w:r>
    </w:p>
    <w:p w14:paraId="55835C6F" w14:textId="77777777" w:rsidR="00746E28" w:rsidRDefault="00746E28" w:rsidP="00377935">
      <w:pPr>
        <w:pStyle w:val="Odsekzoznamu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91BCC">
        <w:rPr>
          <w:rFonts w:ascii="Times New Roman" w:hAnsi="Times New Roman" w:cs="Times New Roman"/>
          <w:sz w:val="24"/>
          <w:szCs w:val="24"/>
          <w:lang w:eastAsia="sk-SK"/>
        </w:rPr>
        <w:t>V rámci spolupráce s povinnými osobami poskytuje FSJ usmernenia a stanoviská k jednotlivým aplikačným problémom formou ich zverejnenia na internetovej stránke a tiež adresne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 xml:space="preserve"> ich zasielaním v písomnej forme p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riamo dožadujúcemu sa subjektu. Najvyšší počet žiadostí o stanovisko k aplikácií zákona </w:t>
      </w:r>
      <w:r w:rsidRPr="00891BCC">
        <w:rPr>
          <w:rFonts w:ascii="Times New Roman" w:hAnsi="Times New Roman" w:cs="Times New Roman"/>
          <w:sz w:val="24"/>
          <w:szCs w:val="24"/>
          <w:lang w:eastAsia="sk-SK"/>
        </w:rPr>
        <w:t>o ochrane pred legalizáciou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sledovanom období </w:t>
      </w:r>
      <w:r w:rsidRPr="00F23E70">
        <w:rPr>
          <w:rFonts w:ascii="Times New Roman" w:hAnsi="Times New Roman" w:cs="Times New Roman"/>
          <w:sz w:val="24"/>
          <w:szCs w:val="24"/>
          <w:lang w:eastAsia="sk-SK"/>
        </w:rPr>
        <w:t>FSJ eviduje zo strany Národn</w:t>
      </w:r>
      <w:r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Pr="00F23E70">
        <w:rPr>
          <w:rFonts w:ascii="Times New Roman" w:hAnsi="Times New Roman" w:cs="Times New Roman"/>
          <w:sz w:val="24"/>
          <w:szCs w:val="24"/>
          <w:lang w:eastAsia="sk-SK"/>
        </w:rPr>
        <w:t xml:space="preserve"> bank</w:t>
      </w:r>
      <w:r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F23E70">
        <w:rPr>
          <w:rFonts w:ascii="Times New Roman" w:hAnsi="Times New Roman" w:cs="Times New Roman"/>
          <w:sz w:val="24"/>
          <w:szCs w:val="24"/>
          <w:lang w:eastAsia="sk-SK"/>
        </w:rPr>
        <w:t xml:space="preserve"> Slovenska v súvislosti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 udeľovaním licencií.</w:t>
      </w:r>
    </w:p>
    <w:p w14:paraId="55835C70" w14:textId="77777777" w:rsidR="00746E28" w:rsidRPr="00377935" w:rsidRDefault="00746E28" w:rsidP="00380A0A">
      <w:pPr>
        <w:pStyle w:val="Odsekzoznamu"/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 účelom eliminácie rozporov v uplatňovaní zákona o ochrane pred legalizáciou FSJ v roku 2013 vykonala dve školenia v Slovenskej bankovej asociácii. V nasledujúcom období plánuje FSJ zintenzívniť svoje osvetové aktivity.</w:t>
      </w:r>
    </w:p>
    <w:p w14:paraId="55835C71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72" w14:textId="77777777" w:rsidR="00746E28" w:rsidRPr="00380837" w:rsidRDefault="00746E28" w:rsidP="003273C2">
      <w:pPr>
        <w:pStyle w:val="Nadpis1"/>
        <w:ind w:firstLine="720"/>
        <w:rPr>
          <w:rFonts w:ascii="Times New Roman" w:hAnsi="Times New Roman"/>
          <w:sz w:val="28"/>
          <w:szCs w:val="28"/>
        </w:rPr>
      </w:pPr>
      <w:bookmarkStart w:id="36" w:name="_Toc382129837"/>
      <w:bookmarkStart w:id="37" w:name="_Toc382129999"/>
      <w:bookmarkStart w:id="38" w:name="_Toc382130530"/>
      <w:bookmarkStart w:id="39" w:name="_Toc382141489"/>
      <w:bookmarkStart w:id="40" w:name="_Toc382141686"/>
      <w:r w:rsidRPr="00380837">
        <w:rPr>
          <w:rFonts w:ascii="Times New Roman" w:hAnsi="Times New Roman"/>
          <w:sz w:val="28"/>
          <w:szCs w:val="28"/>
        </w:rPr>
        <w:t>4. Medzinárodná spolupráca</w:t>
      </w:r>
      <w:bookmarkEnd w:id="36"/>
      <w:bookmarkEnd w:id="37"/>
      <w:bookmarkEnd w:id="38"/>
      <w:bookmarkEnd w:id="39"/>
      <w:bookmarkEnd w:id="40"/>
    </w:p>
    <w:p w14:paraId="55835C73" w14:textId="77777777" w:rsidR="00746E28" w:rsidRPr="00377935" w:rsidRDefault="00746E28" w:rsidP="0037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74" w14:textId="77777777" w:rsidR="00746E28" w:rsidRPr="00891BCC" w:rsidRDefault="00746E28" w:rsidP="00F614E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V rámci účinného boja proti legalizácií príjmov z trestnej činnosti a financovania terorizmu je neodmysliteľnou súčasťou výmena informácií na medzinárodnej úrovni. Za predmetnú oblasť v rámci FSJ zodpovedá oddelenie medzinárodnej spolupráce, ktorého cieľom je túto medzinárodnú spoluprácu medzi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z celého sveta ne</w:t>
      </w:r>
      <w:r>
        <w:rPr>
          <w:rFonts w:ascii="Times New Roman" w:hAnsi="Times New Roman" w:cs="Times New Roman"/>
          <w:sz w:val="24"/>
          <w:szCs w:val="24"/>
        </w:rPr>
        <w:t>pretržite upevňovať a rozvíjať.</w:t>
      </w:r>
    </w:p>
    <w:p w14:paraId="55835C75" w14:textId="77777777" w:rsidR="00746E28" w:rsidRPr="00891BCC" w:rsidRDefault="00746E28" w:rsidP="00B248B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Vzájomná komunikácia sa uskutočňuje prostredníctvom zabezpečenej šifrovanej elektronickej komunikačnej siete ESW (Egmont Secure Web) vytvorenej v rámci medzinárodnej organizáci</w:t>
      </w:r>
      <w:r>
        <w:rPr>
          <w:rFonts w:ascii="Times New Roman" w:hAnsi="Times New Roman" w:cs="Times New Roman"/>
          <w:sz w:val="24"/>
          <w:szCs w:val="24"/>
        </w:rPr>
        <w:t>e Egmont Group a siete FIU.NET.</w:t>
      </w:r>
    </w:p>
    <w:p w14:paraId="55835C76" w14:textId="77777777" w:rsidR="00746E28" w:rsidRPr="00891BCC" w:rsidRDefault="00746E28" w:rsidP="00B248B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V hodnotenom období FSJ na úrovni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združených v skupine EGMONT GROUP spolupracovala z celkového počtu 139 členských krajín EGMONT GROUP predovšetkým s partnerskou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z Českej republiky, Maďarska, Talianska, Ruska a Ukrajiny. Z celkového počtu 26 členských krajín FIU.NET bola najintenzívnejšia spolupráca realizovaná s partnerskou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Maďarska, Rakúska, Nemecka, Holan</w:t>
      </w:r>
      <w:r>
        <w:rPr>
          <w:rFonts w:ascii="Times New Roman" w:hAnsi="Times New Roman" w:cs="Times New Roman"/>
          <w:sz w:val="24"/>
          <w:szCs w:val="24"/>
        </w:rPr>
        <w:t>dska, Lotyšska, Litvy a Poľska.</w:t>
      </w:r>
    </w:p>
    <w:p w14:paraId="55835C77" w14:textId="77777777" w:rsidR="00746E28" w:rsidRPr="00F614EB" w:rsidRDefault="00746E28" w:rsidP="00B27D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V procese výmeny informácií v priebehu roku 2013 FSJ zaslala do zahraničia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91BCC">
        <w:rPr>
          <w:rFonts w:ascii="Times New Roman" w:hAnsi="Times New Roman" w:cs="Times New Roman"/>
          <w:sz w:val="24"/>
          <w:szCs w:val="24"/>
        </w:rPr>
        <w:t xml:space="preserve"> žiadostí o poskytnutie informácií. Pre zahraničné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bolo vybavených 2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891BCC">
        <w:rPr>
          <w:rFonts w:ascii="Times New Roman" w:hAnsi="Times New Roman" w:cs="Times New Roman"/>
          <w:sz w:val="24"/>
          <w:szCs w:val="24"/>
        </w:rPr>
        <w:t xml:space="preserve"> dožiadaní o informácie. Spontánnych informácií FSJ prijala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891BCC">
        <w:rPr>
          <w:rFonts w:ascii="Times New Roman" w:hAnsi="Times New Roman" w:cs="Times New Roman"/>
          <w:sz w:val="24"/>
          <w:szCs w:val="24"/>
        </w:rPr>
        <w:t xml:space="preserve"> a do zahraničia ich bolo zaslaných 2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891BCC">
        <w:rPr>
          <w:rFonts w:ascii="Times New Roman" w:hAnsi="Times New Roman" w:cs="Times New Roman"/>
          <w:sz w:val="24"/>
          <w:szCs w:val="24"/>
        </w:rPr>
        <w:t xml:space="preserve">. </w:t>
      </w:r>
      <w:r w:rsidRPr="00891BCC">
        <w:rPr>
          <w:rFonts w:ascii="Times New Roman" w:hAnsi="Times New Roman" w:cs="Times New Roman"/>
          <w:i/>
          <w:iCs/>
          <w:sz w:val="24"/>
          <w:szCs w:val="24"/>
        </w:rPr>
        <w:t xml:space="preserve">(Spontánna informácia je informácia, ktorá je z pohľadu FSJ využiteľná zahraničnou </w:t>
      </w:r>
      <w:r>
        <w:rPr>
          <w:rFonts w:ascii="Times New Roman" w:hAnsi="Times New Roman" w:cs="Times New Roman"/>
          <w:i/>
          <w:iCs/>
          <w:sz w:val="24"/>
          <w:szCs w:val="24"/>
        </w:rPr>
        <w:t>FIU</w:t>
      </w:r>
      <w:r w:rsidRPr="00891BCC">
        <w:rPr>
          <w:rFonts w:ascii="Times New Roman" w:hAnsi="Times New Roman" w:cs="Times New Roman"/>
          <w:i/>
          <w:iCs/>
          <w:sz w:val="24"/>
          <w:szCs w:val="24"/>
        </w:rPr>
        <w:t xml:space="preserve"> pri jej činnosti.)</w:t>
      </w:r>
    </w:p>
    <w:p w14:paraId="55835C78" w14:textId="77777777" w:rsidR="00746E28" w:rsidRDefault="00746E28" w:rsidP="0037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79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BCC">
        <w:rPr>
          <w:rFonts w:ascii="Times New Roman" w:hAnsi="Times New Roman" w:cs="Times New Roman"/>
          <w:sz w:val="20"/>
          <w:szCs w:val="20"/>
        </w:rPr>
        <w:t>Tabuľka č. 11: Prehľad vybraných činností oddelenia medzinárodnej spolupráce v rokoch 2010 – 201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5835C7A" w14:textId="77777777" w:rsidR="00746E28" w:rsidRPr="00B26C91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843"/>
        <w:gridCol w:w="2126"/>
        <w:gridCol w:w="1985"/>
        <w:gridCol w:w="2441"/>
      </w:tblGrid>
      <w:tr w:rsidR="00746E28" w:rsidRPr="00257297" w14:paraId="55835C86" w14:textId="77777777">
        <w:tc>
          <w:tcPr>
            <w:tcW w:w="709" w:type="dxa"/>
          </w:tcPr>
          <w:p w14:paraId="55835C7B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35C7C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835C7D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35C7E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 ŽIADOSTÍ ZASLANÝCH DO ZAHRANIČIA</w:t>
            </w:r>
          </w:p>
        </w:tc>
        <w:tc>
          <w:tcPr>
            <w:tcW w:w="2126" w:type="dxa"/>
          </w:tcPr>
          <w:p w14:paraId="55835C7F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35C8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 VYBAVENÝCH DOŽIADANÍ ZO ZAHRANIČIA</w:t>
            </w:r>
          </w:p>
        </w:tc>
        <w:tc>
          <w:tcPr>
            <w:tcW w:w="1985" w:type="dxa"/>
          </w:tcPr>
          <w:p w14:paraId="55835C81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35C82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 INFORMÁCIÍ ODSTÚPENÝCH DO ZAHRANIČIA</w:t>
            </w:r>
          </w:p>
          <w:p w14:paraId="55835C83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14:paraId="55835C84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35C85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 INFORMÁCIÍ O SLOVENSKÝCH SUBJEKTOCH PRIJATÝCH ZO ZAHRANIČIA</w:t>
            </w:r>
          </w:p>
        </w:tc>
      </w:tr>
      <w:tr w:rsidR="00746E28" w:rsidRPr="00257297" w14:paraId="55835C8C" w14:textId="77777777">
        <w:tc>
          <w:tcPr>
            <w:tcW w:w="709" w:type="dxa"/>
          </w:tcPr>
          <w:p w14:paraId="55835C87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14:paraId="55835C8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126" w:type="dxa"/>
          </w:tcPr>
          <w:p w14:paraId="55835C8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</w:tcPr>
          <w:p w14:paraId="55835C8A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41" w:type="dxa"/>
          </w:tcPr>
          <w:p w14:paraId="55835C8B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46E28" w:rsidRPr="00257297" w14:paraId="55835C92" w14:textId="77777777">
        <w:tc>
          <w:tcPr>
            <w:tcW w:w="709" w:type="dxa"/>
          </w:tcPr>
          <w:p w14:paraId="55835C8D" w14:textId="77777777" w:rsidR="00746E28" w:rsidRPr="00257297" w:rsidRDefault="00746E28" w:rsidP="00257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5835C8E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55835C8F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</w:tcPr>
          <w:p w14:paraId="55835C9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441" w:type="dxa"/>
          </w:tcPr>
          <w:p w14:paraId="55835C91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14:paraId="55835C93" w14:textId="77777777" w:rsidR="00746E28" w:rsidRDefault="00746E28" w:rsidP="00B248B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základe uvedených štatistických údajov možno konštatovať, že FSJ patrí v oblasti medzinárodnej spolupráce k pomerne aktívnym FIU, výrazne sa podieľajúcich na rozvoji medzinárodnej spolupráce v boji proti legalizácii príjmov z trestnej činnosti a financovania terorizmu.</w:t>
      </w:r>
    </w:p>
    <w:p w14:paraId="55835C94" w14:textId="77777777" w:rsidR="00746E28" w:rsidRDefault="00746E28" w:rsidP="00F614E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hodnotenom období FSJ najintenzívnejšie spolupracovala s  FIU Maďarska, Českej republiky, Rakúska, Poľska, Nemecka a Holandsko (viď grafy č. 2, 3 a 4).</w:t>
      </w:r>
    </w:p>
    <w:p w14:paraId="55835C95" w14:textId="77777777" w:rsidR="00746E28" w:rsidRDefault="00746E28" w:rsidP="00B2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96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3D63">
        <w:rPr>
          <w:rFonts w:ascii="Times New Roman" w:hAnsi="Times New Roman" w:cs="Times New Roman"/>
          <w:sz w:val="20"/>
          <w:szCs w:val="20"/>
        </w:rPr>
        <w:t xml:space="preserve">Graf č.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A3D6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Grafické znázornenie krajín, ktoré v roku 2013 najčastejšie žiadali FSJ o poskytnutie informácií</w:t>
      </w:r>
    </w:p>
    <w:p w14:paraId="55835C97" w14:textId="77777777" w:rsidR="00746E28" w:rsidRPr="00DA3D63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835C98" w14:textId="3AAF32B7" w:rsidR="00746E28" w:rsidRPr="00B248BB" w:rsidRDefault="00E74483" w:rsidP="00B26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1849B"/>
          <w:sz w:val="20"/>
          <w:szCs w:val="20"/>
          <w:lang w:eastAsia="sk-SK"/>
        </w:rPr>
        <w:drawing>
          <wp:inline distT="0" distB="0" distL="0" distR="0" wp14:anchorId="55835D46" wp14:editId="635E7B5B">
            <wp:extent cx="5168265" cy="3235960"/>
            <wp:effectExtent l="0" t="0" r="0" b="0"/>
            <wp:docPr id="2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835C99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9A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Graf č. 3</w:t>
      </w:r>
      <w:r w:rsidRPr="00DA3D6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Grafické znázornenie krajín, ktoré FSJ v roku 2013 najčastejšie žiadala o poskytnutie informácií</w:t>
      </w:r>
    </w:p>
    <w:p w14:paraId="55835C9B" w14:textId="77777777" w:rsidR="00746E28" w:rsidRPr="00B248BB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9C" w14:textId="35977DEC" w:rsidR="00746E28" w:rsidRDefault="00E74483" w:rsidP="007A3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1849B"/>
          <w:sz w:val="20"/>
          <w:szCs w:val="20"/>
          <w:lang w:eastAsia="sk-SK"/>
        </w:rPr>
        <w:drawing>
          <wp:inline distT="0" distB="0" distL="0" distR="0" wp14:anchorId="55835D47" wp14:editId="3A85AF01">
            <wp:extent cx="5200015" cy="3029585"/>
            <wp:effectExtent l="0" t="0" r="0" b="0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835C9D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Graf č. 4</w:t>
      </w:r>
      <w:r w:rsidRPr="00DA3D6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Grafické znázornenie krajín, ktorým FSJ v roku 2013 najčastejšie zaslala spontánne informácie využiteľné pre zahraničné FIU</w:t>
      </w:r>
    </w:p>
    <w:p w14:paraId="55835C9E" w14:textId="77777777" w:rsidR="00746E28" w:rsidRPr="00B248BB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9F" w14:textId="1C23F8BB" w:rsidR="00746E28" w:rsidRDefault="00E74483" w:rsidP="00B26C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1849B"/>
          <w:sz w:val="20"/>
          <w:szCs w:val="20"/>
          <w:lang w:eastAsia="sk-SK"/>
        </w:rPr>
        <w:drawing>
          <wp:inline distT="0" distB="0" distL="0" distR="0" wp14:anchorId="55835D48" wp14:editId="5C50A056">
            <wp:extent cx="5335270" cy="3212465"/>
            <wp:effectExtent l="0" t="0" r="0" b="0"/>
            <wp:docPr id="4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5835CA0" w14:textId="77777777" w:rsidR="00746E28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Pri hodnotení činnosti vykonávanej v roku 2013 je nezanedbateľná tiež spolupráca s oddelením preverovania majetku pri plnení úloh vyplývajúcich FSJ z rozhodnutia Rady Európskej únie č. 2007/845/SVV zo 6.</w:t>
      </w:r>
      <w:r>
        <w:rPr>
          <w:rFonts w:ascii="Times New Roman" w:hAnsi="Times New Roman" w:cs="Times New Roman"/>
          <w:sz w:val="24"/>
          <w:szCs w:val="24"/>
        </w:rPr>
        <w:t xml:space="preserve"> decembra </w:t>
      </w:r>
      <w:r w:rsidRPr="00891BCC">
        <w:rPr>
          <w:rFonts w:ascii="Times New Roman" w:hAnsi="Times New Roman" w:cs="Times New Roman"/>
          <w:sz w:val="24"/>
          <w:szCs w:val="24"/>
        </w:rPr>
        <w:t>2007 o spolupráci medzi úradmi pre vyhľadávanie majetku v členských štátoch pri vypátraní a identifikácií príjmov z trestnej činnosti alebo iného majetku súvisiaceho s trestnou činnosťou.</w:t>
      </w:r>
    </w:p>
    <w:p w14:paraId="55835CA1" w14:textId="77777777" w:rsidR="00746E28" w:rsidRPr="00891BCC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Hlavné aktivity FSJ v medzinárodnej oblasti spočívali v zapojení sa do činnosti pracovných skupín a výborov Európskej komisie, Rady Európy a pod. predovšetkým:</w:t>
      </w:r>
    </w:p>
    <w:p w14:paraId="55835CA2" w14:textId="77777777" w:rsidR="00746E28" w:rsidRPr="00891BCC" w:rsidRDefault="00746E28" w:rsidP="00B248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Výbor na prevenciu proti praniu špinavých peňazí a financovaní terorizmu, ktorý je podvýborom Európskej komisie, DG Internal Market and Services,</w:t>
      </w:r>
    </w:p>
    <w:p w14:paraId="55835CA3" w14:textId="77777777" w:rsidR="00746E28" w:rsidRPr="00891BCC" w:rsidRDefault="00746E28" w:rsidP="00B248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FIU platforma, ktorá je podvýborom Európskej komisie, DG Justice, Freedom and Security a ktorá združuje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členských štátov EÚ,</w:t>
      </w:r>
    </w:p>
    <w:p w14:paraId="55835CA4" w14:textId="77777777" w:rsidR="00746E28" w:rsidRPr="00891BCC" w:rsidRDefault="00746E28" w:rsidP="00B248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Zasadnutie Konferencie zmluvných strán  Dohovoru Rady Európy č. 198/2005 o praní špinavých peňazí, vyhľadávaní, zaistení a konfiškácii ziskov z trestnej činnosti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>financovaní terorizmu,</w:t>
      </w:r>
    </w:p>
    <w:p w14:paraId="55835CA5" w14:textId="77777777" w:rsidR="00746E28" w:rsidRDefault="00746E28" w:rsidP="00B248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Výbor expertov Rady Európy pre hodnotenie opatrení v boji proti praniu špinavých peňazí a financovaniu terorizmu – MONEYVAL.</w:t>
      </w:r>
    </w:p>
    <w:p w14:paraId="55835CA6" w14:textId="77777777" w:rsidR="00746E28" w:rsidRPr="00891BCC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91BCC">
        <w:rPr>
          <w:rFonts w:ascii="Times New Roman" w:hAnsi="Times New Roman" w:cs="Times New Roman"/>
          <w:sz w:val="24"/>
          <w:szCs w:val="24"/>
        </w:rPr>
        <w:t>ýznamovo najvyššie možno hodnotiť 42. plenárne zasadnutie</w:t>
      </w:r>
      <w:r>
        <w:rPr>
          <w:rFonts w:ascii="Times New Roman" w:hAnsi="Times New Roman" w:cs="Times New Roman"/>
          <w:sz w:val="24"/>
          <w:szCs w:val="24"/>
        </w:rPr>
        <w:t xml:space="preserve"> Výboru expertov Rady Európy </w:t>
      </w:r>
      <w:r w:rsidRPr="00891BCC">
        <w:rPr>
          <w:rFonts w:ascii="Times New Roman" w:hAnsi="Times New Roman" w:cs="Times New Roman"/>
          <w:sz w:val="24"/>
          <w:szCs w:val="24"/>
        </w:rPr>
        <w:t>MONEYVAL, na ktorom bola prerokovaná dočasná následná hodnotiaca správa zameraná na pokrok</w:t>
      </w:r>
      <w:r>
        <w:rPr>
          <w:rFonts w:ascii="Times New Roman" w:hAnsi="Times New Roman" w:cs="Times New Roman"/>
          <w:sz w:val="24"/>
          <w:szCs w:val="24"/>
        </w:rPr>
        <w:t xml:space="preserve"> dosiahnutý Slovenskou republikou</w:t>
      </w:r>
      <w:r w:rsidRPr="00891BCC">
        <w:rPr>
          <w:rFonts w:ascii="Times New Roman" w:hAnsi="Times New Roman" w:cs="Times New Roman"/>
          <w:sz w:val="24"/>
          <w:szCs w:val="24"/>
        </w:rPr>
        <w:t xml:space="preserve"> od roku 2010, kedy bola predmetom hodnotiacej návštevy zahraničných expertov. Predkladaná správa sa týkala súladu prijatých opatrení na zabránenie legalizácie príjmov z trestnej činnosti a fina</w:t>
      </w:r>
      <w:r>
        <w:rPr>
          <w:rFonts w:ascii="Times New Roman" w:hAnsi="Times New Roman" w:cs="Times New Roman"/>
          <w:sz w:val="24"/>
          <w:szCs w:val="24"/>
        </w:rPr>
        <w:t>ncovania</w:t>
      </w:r>
      <w:r w:rsidRPr="00891BCC">
        <w:rPr>
          <w:rFonts w:ascii="Times New Roman" w:hAnsi="Times New Roman" w:cs="Times New Roman"/>
          <w:sz w:val="24"/>
          <w:szCs w:val="24"/>
        </w:rPr>
        <w:t xml:space="preserve"> terorizmu so 40 odporúčaniami a 9 špeciálnymi odporúčaniami vydanými </w:t>
      </w:r>
      <w:r w:rsidRPr="00F2794C">
        <w:rPr>
          <w:rFonts w:ascii="Times New Roman" w:hAnsi="Times New Roman" w:cs="Times New Roman"/>
        </w:rPr>
        <w:t>FATF</w:t>
      </w:r>
      <w:r w:rsidRPr="00891BCC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 xml:space="preserve">predloženej správe v časti </w:t>
      </w:r>
      <w:r w:rsidRPr="00891BCC">
        <w:rPr>
          <w:rFonts w:ascii="Times New Roman" w:hAnsi="Times New Roman" w:cs="Times New Roman"/>
          <w:sz w:val="24"/>
          <w:szCs w:val="24"/>
        </w:rPr>
        <w:lastRenderedPageBreak/>
        <w:t>pôsobnosti FSJ a orgánov činných v trestnom konaní Sekretariát MONEYVA</w:t>
      </w:r>
      <w:r>
        <w:rPr>
          <w:rFonts w:ascii="Times New Roman" w:hAnsi="Times New Roman" w:cs="Times New Roman"/>
          <w:sz w:val="24"/>
          <w:szCs w:val="24"/>
        </w:rPr>
        <w:t>L-u konštatoval značný pokrok.</w:t>
      </w:r>
    </w:p>
    <w:p w14:paraId="55835CA7" w14:textId="77777777" w:rsidR="00746E28" w:rsidRPr="00891BCC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Dôležitou</w:t>
      </w:r>
      <w:r w:rsidRPr="00891BCC">
        <w:rPr>
          <w:rFonts w:ascii="Times New Roman" w:hAnsi="Times New Roman" w:cs="Times New Roman"/>
          <w:sz w:val="24"/>
          <w:szCs w:val="24"/>
        </w:rPr>
        <w:t xml:space="preserve"> udalosťou pre FSJ bola aj účasť na 21. plenárnom zasadnutí medzinárodnej skupiny Egmont Group v Juhoafrickej republike v júli 2013. Plenárne zasadnutie sa konalo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 xml:space="preserve">účasti predstaviteľov členských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z celého sveta, ako aj ďalších medzinárodných organizácií – Rada Európy, OSN, Interpol, Europol, FATF, MMF, Svetová banka a iné. Uvedená aktivita predstavuje v podstate jedinú príležitosť, kde sa zástupcovia </w:t>
      </w:r>
      <w:r>
        <w:rPr>
          <w:rFonts w:ascii="Times New Roman" w:hAnsi="Times New Roman" w:cs="Times New Roman"/>
          <w:sz w:val="24"/>
          <w:szCs w:val="24"/>
        </w:rPr>
        <w:t>FIU</w:t>
      </w:r>
      <w:r w:rsidRPr="00891BCC">
        <w:rPr>
          <w:rFonts w:ascii="Times New Roman" w:hAnsi="Times New Roman" w:cs="Times New Roman"/>
          <w:sz w:val="24"/>
          <w:szCs w:val="24"/>
        </w:rPr>
        <w:t xml:space="preserve"> z celého sveta môžu stretnúť a vzájomne prediskutovať spoločné problémy. Počas plenárneho zasadnutia bola tiež podpísaná medzi SR a Ruskou federáciou Dohoda o spolupráci v oblasti boja proti legalizácii príjmov z trestnej činnosti a financovania terorizmu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BCC">
        <w:rPr>
          <w:rFonts w:ascii="Times New Roman" w:hAnsi="Times New Roman" w:cs="Times New Roman"/>
          <w:sz w:val="24"/>
          <w:szCs w:val="24"/>
        </w:rPr>
        <w:t xml:space="preserve"> ktor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91BCC">
        <w:rPr>
          <w:rFonts w:ascii="Times New Roman" w:hAnsi="Times New Roman" w:cs="Times New Roman"/>
          <w:sz w:val="24"/>
          <w:szCs w:val="24"/>
        </w:rPr>
        <w:t xml:space="preserve"> predchádzal náročný bilaterálny proces. Dohoda je zameraná hlavne na oblasť výmeny informácií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>účelom zhromažďovania, spracovávania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>analýzy informácií týkajúcich sa transakcií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 xml:space="preserve">peňažnými prostriedkami a iného majetku, pri ktorých je </w:t>
      </w:r>
      <w:r>
        <w:rPr>
          <w:rFonts w:ascii="Times New Roman" w:hAnsi="Times New Roman" w:cs="Times New Roman"/>
          <w:sz w:val="24"/>
          <w:szCs w:val="24"/>
        </w:rPr>
        <w:t>podozrenie, že majú spojitosť s </w:t>
      </w:r>
      <w:r w:rsidRPr="00891BCC">
        <w:rPr>
          <w:rFonts w:ascii="Times New Roman" w:hAnsi="Times New Roman" w:cs="Times New Roman"/>
          <w:sz w:val="24"/>
          <w:szCs w:val="24"/>
        </w:rPr>
        <w:t>legalizáciou príjmov z trestnej činnosti, financovaním terorizmu a</w:t>
      </w:r>
      <w:r>
        <w:rPr>
          <w:rFonts w:ascii="Times New Roman" w:hAnsi="Times New Roman" w:cs="Times New Roman"/>
          <w:sz w:val="24"/>
          <w:szCs w:val="24"/>
        </w:rPr>
        <w:t> trestnými činmi</w:t>
      </w:r>
      <w:r w:rsidRPr="00891BCC">
        <w:rPr>
          <w:rFonts w:ascii="Times New Roman" w:hAnsi="Times New Roman" w:cs="Times New Roman"/>
          <w:sz w:val="24"/>
          <w:szCs w:val="24"/>
        </w:rPr>
        <w:t xml:space="preserve"> s nimi súvisiacimi.</w:t>
      </w:r>
    </w:p>
    <w:p w14:paraId="55835CA8" w14:textId="77777777" w:rsidR="00746E28" w:rsidRPr="00891BCC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V rámci budovania kvalitnej spolupráce so susednými krajinami je potrebné vyzdvihnúť v októbri FSJ úspešne zrealizované 4. regionálne pracovné stretnutie </w:t>
      </w:r>
      <w:r>
        <w:rPr>
          <w:rFonts w:ascii="Times New Roman" w:hAnsi="Times New Roman" w:cs="Times New Roman"/>
          <w:sz w:val="24"/>
          <w:szCs w:val="24"/>
        </w:rPr>
        <w:t>okolitých</w:t>
      </w:r>
      <w:r w:rsidRPr="00891BCC">
        <w:rPr>
          <w:rFonts w:ascii="Times New Roman" w:hAnsi="Times New Roman" w:cs="Times New Roman"/>
          <w:sz w:val="24"/>
          <w:szCs w:val="24"/>
        </w:rPr>
        <w:t xml:space="preserve"> štátov strednej Európy (ČR, Maďarsko, Poľsko, Rakúsko), s ústrednou témou „Páchanie trestných činov legalizácie príjmov z trestnej činnosti formou organizovaných skupín“.</w:t>
      </w:r>
    </w:p>
    <w:p w14:paraId="55835CA9" w14:textId="77777777" w:rsidR="00746E28" w:rsidRPr="00B248BB" w:rsidRDefault="00746E28" w:rsidP="00B2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AA" w14:textId="77777777" w:rsidR="00746E28" w:rsidRPr="00380837" w:rsidRDefault="00746E28" w:rsidP="003273C2">
      <w:pPr>
        <w:pStyle w:val="Nadpis1"/>
        <w:ind w:firstLine="720"/>
        <w:rPr>
          <w:rFonts w:ascii="Times New Roman" w:hAnsi="Times New Roman"/>
          <w:sz w:val="28"/>
          <w:szCs w:val="28"/>
        </w:rPr>
      </w:pPr>
      <w:bookmarkStart w:id="41" w:name="_Toc382129838"/>
      <w:bookmarkStart w:id="42" w:name="_Toc382130000"/>
      <w:bookmarkStart w:id="43" w:name="_Toc382130531"/>
      <w:bookmarkStart w:id="44" w:name="_Toc382141490"/>
      <w:bookmarkStart w:id="45" w:name="_Toc382141687"/>
      <w:r w:rsidRPr="00380837">
        <w:rPr>
          <w:rFonts w:ascii="Times New Roman" w:hAnsi="Times New Roman"/>
          <w:sz w:val="28"/>
          <w:szCs w:val="28"/>
        </w:rPr>
        <w:t>5. Finančné a majetkové preverovanie</w:t>
      </w:r>
      <w:bookmarkEnd w:id="41"/>
      <w:bookmarkEnd w:id="42"/>
      <w:bookmarkEnd w:id="43"/>
      <w:bookmarkEnd w:id="44"/>
      <w:bookmarkEnd w:id="45"/>
    </w:p>
    <w:p w14:paraId="55835CAB" w14:textId="77777777" w:rsidR="00746E28" w:rsidRPr="00B248BB" w:rsidRDefault="00746E28" w:rsidP="00B2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AC" w14:textId="77777777" w:rsidR="00746E28" w:rsidRDefault="00746E28" w:rsidP="007A3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Plnenie úloh v oblasti finančného a majetkového preverovanie je zverené oddeleniu preverovania majetku. </w:t>
      </w:r>
    </w:p>
    <w:p w14:paraId="55835CAD" w14:textId="77777777" w:rsidR="00746E28" w:rsidRDefault="00746E28" w:rsidP="00B2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AE" w14:textId="77777777" w:rsidR="00746E28" w:rsidRPr="003273C2" w:rsidRDefault="00746E28" w:rsidP="0045056D">
      <w:pPr>
        <w:pStyle w:val="Nadpis2"/>
        <w:ind w:left="540" w:hanging="54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46" w:name="_Toc382129839"/>
      <w:bookmarkStart w:id="47" w:name="_Toc382130001"/>
      <w:bookmarkStart w:id="48" w:name="_Toc382130532"/>
      <w:bookmarkStart w:id="49" w:name="_Toc382141491"/>
      <w:bookmarkStart w:id="50" w:name="_Toc382141688"/>
      <w:r>
        <w:rPr>
          <w:rFonts w:ascii="Times New Roman" w:hAnsi="Times New Roman"/>
          <w:i w:val="0"/>
          <w:iCs w:val="0"/>
          <w:sz w:val="24"/>
          <w:szCs w:val="24"/>
        </w:rPr>
        <w:t xml:space="preserve">5.1 </w:t>
      </w:r>
      <w:r w:rsidRPr="003273C2">
        <w:rPr>
          <w:rFonts w:ascii="Times New Roman" w:hAnsi="Times New Roman"/>
          <w:i w:val="0"/>
          <w:iCs w:val="0"/>
          <w:sz w:val="24"/>
          <w:szCs w:val="24"/>
        </w:rPr>
        <w:t>Identifikácia príjmov a majetku pochádzajúceho z trestnej činnosti (finančné preverovanie)</w:t>
      </w:r>
      <w:bookmarkEnd w:id="46"/>
      <w:bookmarkEnd w:id="47"/>
      <w:bookmarkEnd w:id="48"/>
      <w:bookmarkEnd w:id="49"/>
      <w:bookmarkEnd w:id="50"/>
    </w:p>
    <w:p w14:paraId="55835CAF" w14:textId="77777777" w:rsidR="00746E28" w:rsidRPr="00891BCC" w:rsidRDefault="00746E28" w:rsidP="007A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35CB0" w14:textId="77777777" w:rsidR="00746E28" w:rsidRPr="00891BCC" w:rsidRDefault="00746E28" w:rsidP="00F614EB">
      <w:pPr>
        <w:spacing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FSJ je od októbra 2008 určená za vnútroštátny úrad pre vyhľadávanie majetku (ARO) oznámením Generálnemu sekretariátu Rady v súlade s rozhodnutím Rady Európskej únie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>2007/845/SVV. Úlohou národných ARO je zjednodušenie vypátrania a identifikácie príjmov z trestnej činnosti a iného majetku súvisiaceho s trestnou činnosťou, ktorý môže byť v rámci trestného konania na základe príkazu príslušného justičného orgánu zmrazený, zaistený alebo skonfiškovaný.</w:t>
      </w:r>
    </w:p>
    <w:p w14:paraId="55835CB1" w14:textId="77777777" w:rsidR="00746E28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Spolupráca a výmena informácií medzi národnými ARO sa uskutočňuje na základe postupov a lehôt uvedených v rámcovom rozhodnutí Rady Európskej únie č. 2006/960/SVV za využitia zabezpečených elektronických sietí a kanálu s vysokým prvkom ochrany pred únikom SIENA, prípadne formou e-mailovej komunikácie z adresy </w:t>
      </w:r>
      <w:hyperlink r:id="rId19" w:history="1">
        <w:r w:rsidRPr="00891BCC">
          <w:rPr>
            <w:rStyle w:val="Hypertextovprepojenie"/>
            <w:rFonts w:ascii="Times New Roman" w:hAnsi="Times New Roman"/>
            <w:sz w:val="24"/>
            <w:szCs w:val="24"/>
          </w:rPr>
          <w:t>sjfpopm@minv.sk</w:t>
        </w:r>
      </w:hyperlink>
      <w:r w:rsidRPr="00891BCC">
        <w:rPr>
          <w:rFonts w:ascii="Times New Roman" w:hAnsi="Times New Roman" w:cs="Times New Roman"/>
          <w:sz w:val="24"/>
          <w:szCs w:val="24"/>
        </w:rPr>
        <w:t>. Vzájomná spolupráca s </w:t>
      </w:r>
      <w:r>
        <w:rPr>
          <w:rFonts w:ascii="Times New Roman" w:hAnsi="Times New Roman" w:cs="Times New Roman"/>
          <w:sz w:val="24"/>
          <w:szCs w:val="24"/>
        </w:rPr>
        <w:t>tretími krajinami je realizovaná</w:t>
      </w:r>
      <w:r w:rsidRPr="00891BCC">
        <w:rPr>
          <w:rFonts w:ascii="Times New Roman" w:hAnsi="Times New Roman" w:cs="Times New Roman"/>
          <w:sz w:val="24"/>
          <w:szCs w:val="24"/>
        </w:rPr>
        <w:t xml:space="preserve"> prostredníctvom celosvetovej neformálnej siete odborníkov a expertov v oblasti cezhraničnej identifikácie, zmrazenia, zaistenia a konfiškácie príjmov z trestnej činnosti a iného majetku súvisiaceho s trestnou činnosťou – Camdenská medziagentúrna sieť pre vyhľadávanie majetku (CARIN).</w:t>
      </w:r>
    </w:p>
    <w:p w14:paraId="55835CB2" w14:textId="77777777" w:rsidR="00746E28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lastRenderedPageBreak/>
        <w:t>V roku 2013 prijalo oddelenie preverovania majetku spolu 27 žiadostí policajných zložiek SR o vypracovanie majetkového profilu, pri vybavovaní ktorých využilo zahraničnú spoluprácu v piatich prípadoch prostredníctvom partnerských ARO, ale aj CARIN. Oddelenie preverovania majetku v hodnotenom období prijalo 48 žiadostí od zahraničných ARO.</w:t>
      </w:r>
    </w:p>
    <w:p w14:paraId="55835CB3" w14:textId="77777777" w:rsidR="00746E28" w:rsidRDefault="00746E28" w:rsidP="00CD1D65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 xml:space="preserve">Z roku 2012 zostalo v preverovaní 20 žiadostí (7 – policajné zložky SR a 13 – zahraničie). Za sledované obdobie pracovníci </w:t>
      </w:r>
      <w:r>
        <w:rPr>
          <w:rFonts w:ascii="Times New Roman" w:hAnsi="Times New Roman" w:cs="Times New Roman"/>
          <w:sz w:val="24"/>
          <w:szCs w:val="24"/>
        </w:rPr>
        <w:t>FSJ (</w:t>
      </w:r>
      <w:r w:rsidRPr="00891BCC">
        <w:rPr>
          <w:rFonts w:ascii="Times New Roman" w:hAnsi="Times New Roman" w:cs="Times New Roman"/>
          <w:sz w:val="24"/>
          <w:szCs w:val="24"/>
        </w:rPr>
        <w:t>oddelenia preverovania majetku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1BCC">
        <w:rPr>
          <w:rFonts w:ascii="Times New Roman" w:hAnsi="Times New Roman" w:cs="Times New Roman"/>
          <w:sz w:val="24"/>
          <w:szCs w:val="24"/>
        </w:rPr>
        <w:t xml:space="preserve"> vybavovali spolu 95 žiadostí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91BCC">
        <w:rPr>
          <w:rFonts w:ascii="Times New Roman" w:hAnsi="Times New Roman" w:cs="Times New Roman"/>
          <w:sz w:val="24"/>
          <w:szCs w:val="24"/>
        </w:rPr>
        <w:t>ypracovali 28 majetkových profilov pre policajné zložky SR a 52 odpovedí na žiadosti pre zahraničných partnerov. K dátumu 31.</w:t>
      </w:r>
      <w:r>
        <w:rPr>
          <w:rFonts w:ascii="Times New Roman" w:hAnsi="Times New Roman" w:cs="Times New Roman"/>
          <w:sz w:val="24"/>
          <w:szCs w:val="24"/>
        </w:rPr>
        <w:t xml:space="preserve">decembra </w:t>
      </w:r>
      <w:r w:rsidRPr="00891BCC">
        <w:rPr>
          <w:rFonts w:ascii="Times New Roman" w:hAnsi="Times New Roman" w:cs="Times New Roman"/>
          <w:sz w:val="24"/>
          <w:szCs w:val="24"/>
        </w:rPr>
        <w:t>2013 zostalo v preverovaní 15 žiadostí (6 – policaj</w:t>
      </w:r>
      <w:r>
        <w:rPr>
          <w:rFonts w:ascii="Times New Roman" w:hAnsi="Times New Roman" w:cs="Times New Roman"/>
          <w:sz w:val="24"/>
          <w:szCs w:val="24"/>
        </w:rPr>
        <w:t>né zložky SR a 9 – zahraničie).</w:t>
      </w:r>
    </w:p>
    <w:p w14:paraId="55835CB4" w14:textId="77777777" w:rsidR="00746E28" w:rsidRDefault="00746E28" w:rsidP="00B2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B5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0A20">
        <w:rPr>
          <w:rFonts w:ascii="Times New Roman" w:hAnsi="Times New Roman" w:cs="Times New Roman"/>
          <w:sz w:val="20"/>
          <w:szCs w:val="20"/>
        </w:rPr>
        <w:t xml:space="preserve">Tabuľka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7E0A20">
        <w:rPr>
          <w:rFonts w:ascii="Times New Roman" w:hAnsi="Times New Roman" w:cs="Times New Roman"/>
          <w:sz w:val="20"/>
          <w:szCs w:val="20"/>
        </w:rPr>
        <w:t>: Prehľad vypracovaných majetkových profilov oddelením prev</w:t>
      </w:r>
      <w:r>
        <w:rPr>
          <w:rFonts w:ascii="Times New Roman" w:hAnsi="Times New Roman" w:cs="Times New Roman"/>
          <w:sz w:val="20"/>
          <w:szCs w:val="20"/>
        </w:rPr>
        <w:t xml:space="preserve">erovania majetku v rokoch 2011 – </w:t>
      </w:r>
      <w:r w:rsidRPr="007E0A20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</w:p>
    <w:p w14:paraId="55835CB6" w14:textId="77777777" w:rsidR="00746E28" w:rsidRPr="00F614EB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84"/>
        <w:gridCol w:w="3257"/>
        <w:gridCol w:w="2303"/>
      </w:tblGrid>
      <w:tr w:rsidR="00746E28" w:rsidRPr="00257297" w14:paraId="55835CBE" w14:textId="77777777">
        <w:trPr>
          <w:trHeight w:val="792"/>
        </w:trPr>
        <w:tc>
          <w:tcPr>
            <w:tcW w:w="1560" w:type="dxa"/>
            <w:vAlign w:val="center"/>
          </w:tcPr>
          <w:p w14:paraId="55835CB7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984" w:type="dxa"/>
            <w:vAlign w:val="center"/>
          </w:tcPr>
          <w:p w14:paraId="55835CB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835CB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ŽIADOSTI OD ÚTVAROV PZ</w:t>
            </w:r>
          </w:p>
        </w:tc>
        <w:tc>
          <w:tcPr>
            <w:tcW w:w="3257" w:type="dxa"/>
            <w:vAlign w:val="center"/>
          </w:tcPr>
          <w:p w14:paraId="55835CBA" w14:textId="77777777" w:rsidR="00746E28" w:rsidRPr="00257297" w:rsidRDefault="00746E28" w:rsidP="002572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835CBB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ŽIADOSTI OD ZAHRANIČNÝCH POLICAJNÝCH ZLOŽIEK</w:t>
            </w:r>
          </w:p>
        </w:tc>
        <w:tc>
          <w:tcPr>
            <w:tcW w:w="2303" w:type="dxa"/>
            <w:vAlign w:val="center"/>
          </w:tcPr>
          <w:p w14:paraId="55835CB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835CBD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ŽIADOSTI O PRÁVNU POMOC ZASLANÉ GP SR</w:t>
            </w:r>
          </w:p>
        </w:tc>
      </w:tr>
      <w:tr w:rsidR="00746E28" w:rsidRPr="00257297" w14:paraId="55835CC3" w14:textId="77777777">
        <w:tc>
          <w:tcPr>
            <w:tcW w:w="1560" w:type="dxa"/>
          </w:tcPr>
          <w:p w14:paraId="55835CBF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14:paraId="55835CC0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7" w:type="dxa"/>
          </w:tcPr>
          <w:p w14:paraId="55835CC1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3" w:type="dxa"/>
          </w:tcPr>
          <w:p w14:paraId="55835CC2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E28" w:rsidRPr="00257297" w14:paraId="55835CC8" w14:textId="77777777">
        <w:tc>
          <w:tcPr>
            <w:tcW w:w="1560" w:type="dxa"/>
          </w:tcPr>
          <w:p w14:paraId="55835CC4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84" w:type="dxa"/>
          </w:tcPr>
          <w:p w14:paraId="55835CC5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7" w:type="dxa"/>
          </w:tcPr>
          <w:p w14:paraId="55835CC6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14:paraId="55835CC7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E28" w:rsidRPr="00257297" w14:paraId="55835CCD" w14:textId="77777777">
        <w:tc>
          <w:tcPr>
            <w:tcW w:w="1560" w:type="dxa"/>
          </w:tcPr>
          <w:p w14:paraId="55835CC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4" w:type="dxa"/>
          </w:tcPr>
          <w:p w14:paraId="55835CCA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7" w:type="dxa"/>
          </w:tcPr>
          <w:p w14:paraId="55835CCB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14:paraId="55835CCC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835CCE" w14:textId="77777777" w:rsidR="00746E28" w:rsidRPr="00891BCC" w:rsidRDefault="00746E28" w:rsidP="00B2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CF" w14:textId="77777777" w:rsidR="00746E28" w:rsidRDefault="00746E28" w:rsidP="00F614E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FSJ v roku 2013 najintenzívnejšie spolupracovala s národnou jednotkou finančnej polície, národnou protikorupčnou jednotkou a národnou protizločineckou jednotkou. Na medzinárodnej úrovni bola najintenzívnejšia spolupráca s ARO Českej republiky a Maďarska.</w:t>
      </w:r>
    </w:p>
    <w:p w14:paraId="55835CD0" w14:textId="77777777" w:rsidR="00746E28" w:rsidRPr="00891BCC" w:rsidRDefault="00746E28" w:rsidP="00D222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35CD1" w14:textId="77777777" w:rsidR="00746E28" w:rsidRPr="003273C2" w:rsidRDefault="00746E28" w:rsidP="00380837">
      <w:pPr>
        <w:pStyle w:val="Nadpis2"/>
        <w:rPr>
          <w:rFonts w:ascii="Times New Roman" w:hAnsi="Times New Roman"/>
          <w:i w:val="0"/>
          <w:iCs w:val="0"/>
          <w:sz w:val="24"/>
          <w:szCs w:val="24"/>
        </w:rPr>
      </w:pPr>
      <w:bookmarkStart w:id="51" w:name="_Toc382129840"/>
      <w:bookmarkStart w:id="52" w:name="_Toc382130002"/>
      <w:bookmarkStart w:id="53" w:name="_Toc382130533"/>
      <w:bookmarkStart w:id="54" w:name="_Toc382141492"/>
      <w:bookmarkStart w:id="55" w:name="_Toc382141689"/>
      <w:r>
        <w:rPr>
          <w:rFonts w:ascii="Times New Roman" w:hAnsi="Times New Roman"/>
          <w:i w:val="0"/>
          <w:iCs w:val="0"/>
          <w:sz w:val="24"/>
          <w:szCs w:val="24"/>
        </w:rPr>
        <w:t xml:space="preserve">5.2 </w:t>
      </w:r>
      <w:r w:rsidRPr="003273C2">
        <w:rPr>
          <w:rFonts w:ascii="Times New Roman" w:hAnsi="Times New Roman"/>
          <w:i w:val="0"/>
          <w:iCs w:val="0"/>
          <w:sz w:val="24"/>
          <w:szCs w:val="24"/>
        </w:rPr>
        <w:t>Preverovanie pôvodu majetku (majetkové preverovanie)</w:t>
      </w:r>
      <w:bookmarkEnd w:id="51"/>
      <w:bookmarkEnd w:id="52"/>
      <w:bookmarkEnd w:id="53"/>
      <w:bookmarkEnd w:id="54"/>
      <w:bookmarkEnd w:id="55"/>
    </w:p>
    <w:p w14:paraId="55835CD2" w14:textId="77777777" w:rsidR="00746E28" w:rsidRPr="00891BCC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835CD3" w14:textId="77777777" w:rsidR="00746E28" w:rsidRPr="00891BCC" w:rsidRDefault="00746E28" w:rsidP="00F614E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91BCC">
        <w:rPr>
          <w:rFonts w:ascii="Times New Roman" w:hAnsi="Times New Roman" w:cs="Times New Roman"/>
          <w:sz w:val="24"/>
          <w:szCs w:val="24"/>
        </w:rPr>
        <w:t>nterný akt riadenia FSJ (oddeleniu preverovania majetku) priznáva pozíciu koordinátora a metodického orgánu, pri preskúmavaní príjmov, hodnoty majetku a spôsobu nadobudnutia majetku (ďalej len „preverovanie pôvodu majetku“) v zmysle zákona o preukazovaní pôvodu majetku, ktorý upravuje podmienky a postup orgánov verejnej moci pri odnímaní nehnuteľného majetku, hnuteľného majetku, bytov a nebytových priestorov, iných majetkových práv a hodnôt, peňažných prostriedkov v hotovosti v eurách a v cudzej mene, vkladov v bankách a v pobočkách zahraničných bánk v eurách a v cudzej mene a vkladov v bankách so sídlom v zahraničí fyzickým a právnickým osobám, o ktorých súd v konaní podľa daného zákona vyslovil, že majetok n</w:t>
      </w:r>
      <w:r>
        <w:rPr>
          <w:rFonts w:ascii="Times New Roman" w:hAnsi="Times New Roman" w:cs="Times New Roman"/>
          <w:sz w:val="24"/>
          <w:szCs w:val="24"/>
        </w:rPr>
        <w:t>adobudli z nelegálnych príjmov.</w:t>
      </w:r>
    </w:p>
    <w:p w14:paraId="55835CD4" w14:textId="77777777" w:rsidR="00746E28" w:rsidRDefault="00746E28" w:rsidP="00703BD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V roku 2013 FSJ prijala 11 oznámení fyzických osôb, 1 oznámenie od orgánu verejnej moci. Na podklade vlastného podnetu bolo konanie začaté v 11 prípadoch a 1 konanie bolo začaté vylúčením na samostatné konanie. Z roku 2012 zostalo v preverovaní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BCC">
        <w:rPr>
          <w:rFonts w:ascii="Times New Roman" w:hAnsi="Times New Roman" w:cs="Times New Roman"/>
          <w:sz w:val="24"/>
          <w:szCs w:val="24"/>
        </w:rPr>
        <w:t xml:space="preserve"> prípadov</w:t>
      </w:r>
      <w:r>
        <w:rPr>
          <w:rFonts w:ascii="Times New Roman" w:hAnsi="Times New Roman" w:cs="Times New Roman"/>
          <w:sz w:val="24"/>
          <w:szCs w:val="24"/>
        </w:rPr>
        <w:t xml:space="preserve"> pričom 1 konanie bolo znovuotvorené vrátením podnetu na doplnenie prokurátorom</w:t>
      </w:r>
      <w:r w:rsidRPr="00891BCC">
        <w:rPr>
          <w:rFonts w:ascii="Times New Roman" w:hAnsi="Times New Roman" w:cs="Times New Roman"/>
          <w:sz w:val="24"/>
          <w:szCs w:val="24"/>
        </w:rPr>
        <w:t>. Z uvedeného vyplýva, že v roku 2013 bolo preverovanie pôvodu majetku v zmysle zákona o preukazovaní pôvodu majetku vykonávané v 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1BCC">
        <w:rPr>
          <w:rFonts w:ascii="Times New Roman" w:hAnsi="Times New Roman" w:cs="Times New Roman"/>
          <w:sz w:val="24"/>
          <w:szCs w:val="24"/>
        </w:rPr>
        <w:t xml:space="preserve"> prípadoch. Z tohto počtu bolo ukončených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BCC">
        <w:rPr>
          <w:rFonts w:ascii="Times New Roman" w:hAnsi="Times New Roman" w:cs="Times New Roman"/>
          <w:sz w:val="24"/>
          <w:szCs w:val="24"/>
        </w:rPr>
        <w:t xml:space="preserve"> prípadov. Prokurátorovi, v obvode ktorého sa nachádza príslušný súd na konanie o návrhu, </w:t>
      </w:r>
      <w:r>
        <w:rPr>
          <w:rFonts w:ascii="Times New Roman" w:hAnsi="Times New Roman" w:cs="Times New Roman"/>
          <w:sz w:val="24"/>
          <w:szCs w:val="24"/>
        </w:rPr>
        <w:lastRenderedPageBreak/>
        <w:t>bolo podaných 5</w:t>
      </w:r>
      <w:r w:rsidRPr="00891BCC">
        <w:rPr>
          <w:rFonts w:ascii="Times New Roman" w:hAnsi="Times New Roman" w:cs="Times New Roman"/>
          <w:sz w:val="24"/>
          <w:szCs w:val="24"/>
        </w:rPr>
        <w:t xml:space="preserve"> podnet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891BCC">
        <w:rPr>
          <w:rFonts w:ascii="Times New Roman" w:hAnsi="Times New Roman" w:cs="Times New Roman"/>
          <w:sz w:val="24"/>
          <w:szCs w:val="24"/>
        </w:rPr>
        <w:t xml:space="preserve"> (z nich 2 prokurátor vrátil na doplnenie</w:t>
      </w:r>
      <w:r>
        <w:rPr>
          <w:rFonts w:ascii="Times New Roman" w:hAnsi="Times New Roman" w:cs="Times New Roman"/>
          <w:sz w:val="24"/>
          <w:szCs w:val="24"/>
        </w:rPr>
        <w:t xml:space="preserve"> a zostali v štádiu preverovania</w:t>
      </w:r>
      <w:r w:rsidRPr="00891BCC">
        <w:rPr>
          <w:rFonts w:ascii="Times New Roman" w:hAnsi="Times New Roman" w:cs="Times New Roman"/>
          <w:sz w:val="24"/>
          <w:szCs w:val="24"/>
        </w:rPr>
        <w:t xml:space="preserve">) na podanie návrhu na začatie konania o vyslovenie toho, že majetok bol najmenej o 1500-násobok minimálnej mzdy vyšší, ako preukázateľné príjmy (v roku 2013 </w:t>
      </w:r>
      <w:r w:rsidRPr="00633DFA">
        <w:rPr>
          <w:rFonts w:ascii="Times New Roman" w:hAnsi="Times New Roman" w:cs="Times New Roman"/>
          <w:sz w:val="24"/>
          <w:szCs w:val="24"/>
        </w:rPr>
        <w:t>1500-násobok podľa stanovenia minimálnej mzdy predstavoval sumu</w:t>
      </w:r>
      <w:r w:rsidRPr="00891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1BCC">
        <w:rPr>
          <w:rFonts w:ascii="Times New Roman" w:hAnsi="Times New Roman" w:cs="Times New Roman"/>
          <w:sz w:val="24"/>
          <w:szCs w:val="24"/>
        </w:rPr>
        <w:t>506 550 EUR). Celkovo v 32 prípadoch bol zistený majetok nižší ako 1500-násobok minimálnej mzdy (z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1BCC">
        <w:rPr>
          <w:rFonts w:ascii="Times New Roman" w:hAnsi="Times New Roman" w:cs="Times New Roman"/>
          <w:sz w:val="24"/>
          <w:szCs w:val="24"/>
        </w:rPr>
        <w:t>toho v 1 prípade išlo o opakovane vrátený podnet prokurátorom, v ktorom období sa preverovaná osoba „zbavila majetku“) a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1BCC">
        <w:rPr>
          <w:rFonts w:ascii="Times New Roman" w:hAnsi="Times New Roman" w:cs="Times New Roman"/>
          <w:sz w:val="24"/>
          <w:szCs w:val="24"/>
        </w:rPr>
        <w:t xml:space="preserve"> oznámení nespĺňalo povinné náležitosti zákona o preukazov</w:t>
      </w:r>
      <w:r>
        <w:rPr>
          <w:rFonts w:ascii="Times New Roman" w:hAnsi="Times New Roman" w:cs="Times New Roman"/>
          <w:sz w:val="24"/>
          <w:szCs w:val="24"/>
        </w:rPr>
        <w:t>aní pôvodu majetku. Ostatných 33</w:t>
      </w:r>
      <w:r w:rsidRPr="00891BCC">
        <w:rPr>
          <w:rFonts w:ascii="Times New Roman" w:hAnsi="Times New Roman" w:cs="Times New Roman"/>
          <w:sz w:val="24"/>
          <w:szCs w:val="24"/>
        </w:rPr>
        <w:t xml:space="preserve"> prípadov z</w:t>
      </w:r>
      <w:r>
        <w:rPr>
          <w:rFonts w:ascii="Times New Roman" w:hAnsi="Times New Roman" w:cs="Times New Roman"/>
          <w:sz w:val="24"/>
          <w:szCs w:val="24"/>
        </w:rPr>
        <w:t>ostalo v štádiu preverovania.</w:t>
      </w:r>
    </w:p>
    <w:p w14:paraId="55835CD5" w14:textId="77777777" w:rsidR="00746E28" w:rsidRDefault="00746E28" w:rsidP="00B2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D6" w14:textId="77777777" w:rsidR="00746E28" w:rsidRDefault="00746E28" w:rsidP="00ED3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07A">
        <w:rPr>
          <w:rFonts w:ascii="Times New Roman" w:hAnsi="Times New Roman" w:cs="Times New Roman"/>
          <w:sz w:val="20"/>
          <w:szCs w:val="20"/>
        </w:rPr>
        <w:t>Graf č. 5: Grafické znázornenie prípadov preverovania majetku za rok 2013</w:t>
      </w:r>
    </w:p>
    <w:p w14:paraId="55835CD7" w14:textId="77777777" w:rsidR="00746E28" w:rsidRPr="0010306F" w:rsidRDefault="00746E28" w:rsidP="00ED3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D8" w14:textId="3933A92B" w:rsidR="00746E28" w:rsidRDefault="00E74483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55835D49" wp14:editId="0801695C">
            <wp:extent cx="5756910" cy="2600325"/>
            <wp:effectExtent l="0" t="0" r="0" b="0"/>
            <wp:docPr id="5" name="Graf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835CD9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35CDA" w14:textId="77777777" w:rsidR="00746E28" w:rsidRPr="00380837" w:rsidRDefault="00746E28" w:rsidP="003273C2">
      <w:pPr>
        <w:pStyle w:val="Nadpis1"/>
        <w:ind w:firstLine="720"/>
        <w:rPr>
          <w:rFonts w:ascii="Times New Roman" w:hAnsi="Times New Roman"/>
          <w:sz w:val="28"/>
          <w:szCs w:val="28"/>
        </w:rPr>
      </w:pPr>
      <w:bookmarkStart w:id="56" w:name="_Toc382129841"/>
      <w:bookmarkStart w:id="57" w:name="_Toc382130003"/>
      <w:bookmarkStart w:id="58" w:name="_Toc382130534"/>
      <w:bookmarkStart w:id="59" w:name="_Toc382141493"/>
      <w:bookmarkStart w:id="60" w:name="_Toc382141690"/>
      <w:r w:rsidRPr="00380837">
        <w:rPr>
          <w:rFonts w:ascii="Times New Roman" w:hAnsi="Times New Roman"/>
          <w:sz w:val="28"/>
          <w:szCs w:val="28"/>
        </w:rPr>
        <w:t>6. Analytická činnosť</w:t>
      </w:r>
      <w:bookmarkEnd w:id="56"/>
      <w:bookmarkEnd w:id="57"/>
      <w:bookmarkEnd w:id="58"/>
      <w:bookmarkEnd w:id="59"/>
      <w:bookmarkEnd w:id="60"/>
    </w:p>
    <w:p w14:paraId="55835CDB" w14:textId="77777777" w:rsidR="00746E28" w:rsidRDefault="00746E28" w:rsidP="00B24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35CDC" w14:textId="77777777" w:rsidR="00746E28" w:rsidRDefault="00746E28" w:rsidP="00E21E4D">
      <w:pPr>
        <w:spacing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plnenia povinností FSJ definovaných predovšetkým v § 27 zákona o ochrane pred legalizáciou, najmä viesť súhrnné štatistické údaje, ktoré zahŕňajú počet prijatých hlásení o NOO, jednotlivé spôsoby spracovania hlásení o NOO, ich počet, vrátane počtu prípadov odstúpených OČTK alebo správcom daní za kalendárny rok, počet stíhaných osôb, počet osôb odsúdených za trestný čin legalizácie príjmu z trestnej činnosti, hodnotu zaisteného, prepadnutého alebo zhabaného majetku, bolo k 1. aprílu 2009 zriadené analytické oddelenie.</w:t>
      </w:r>
    </w:p>
    <w:p w14:paraId="55835CDD" w14:textId="77777777" w:rsidR="00746E28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Analytické oddelenie, pre potreby povinných osôb zasielajúcich FSJ hlásenia o NOO, zabezpečuje zasielanie štatistických informácii o ich účinnosti tak, aby povinná osoba mala konkrétny prehľad o svojich jednotlivých hláseniach a ich následnej využiteľnosti.</w:t>
      </w:r>
    </w:p>
    <w:p w14:paraId="55835CDE" w14:textId="77777777" w:rsidR="00746E28" w:rsidRPr="00891BCC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ďalším úlohám analytického oddelenia patrí navrhovanie úprav a zmien relevantnej legislatívy a súvisiacich interných aktov riadenia, vedenie evidencie a kontroly plnenia úloh a ich vyhodnocovanie, ktoré pre FSJ vyplývajú z uznesení vlády SR, ročného plánu Prezídia PZ, ako aj z ďalších dokumentov. Analytické oddelenie v súčinnosti s ostatnými oddeleniami FSJ zverejňuje informácie o formách a spôsoboch legalizácie príjmov z trestnej činnosti a financovania terorizmu a o spôsoboch rozpoznávania NOO.</w:t>
      </w:r>
    </w:p>
    <w:p w14:paraId="55835CDF" w14:textId="77777777" w:rsidR="00746E28" w:rsidRPr="00625E69" w:rsidRDefault="00746E28" w:rsidP="00625E69">
      <w:pPr>
        <w:pStyle w:val="Nadpis2"/>
        <w:rPr>
          <w:rFonts w:ascii="Times New Roman" w:hAnsi="Times New Roman"/>
          <w:i w:val="0"/>
          <w:iCs w:val="0"/>
          <w:sz w:val="24"/>
          <w:szCs w:val="24"/>
        </w:rPr>
      </w:pPr>
      <w:bookmarkStart w:id="61" w:name="_Toc382129842"/>
      <w:bookmarkStart w:id="62" w:name="_Toc382130004"/>
      <w:bookmarkStart w:id="63" w:name="_Toc382130535"/>
      <w:bookmarkStart w:id="64" w:name="_Toc382141494"/>
      <w:bookmarkStart w:id="65" w:name="_Toc382141691"/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6.1 </w:t>
      </w:r>
      <w:r w:rsidRPr="00625E69">
        <w:rPr>
          <w:rFonts w:ascii="Times New Roman" w:hAnsi="Times New Roman"/>
          <w:i w:val="0"/>
          <w:iCs w:val="0"/>
          <w:sz w:val="24"/>
          <w:szCs w:val="24"/>
        </w:rPr>
        <w:t>Preprava peňažných prostriedkov v hotovosti (Cezhraničné ohlasovanie)</w:t>
      </w:r>
      <w:bookmarkEnd w:id="61"/>
      <w:bookmarkEnd w:id="62"/>
      <w:bookmarkEnd w:id="63"/>
      <w:bookmarkEnd w:id="64"/>
      <w:bookmarkEnd w:id="65"/>
    </w:p>
    <w:p w14:paraId="55835CE0" w14:textId="77777777" w:rsidR="00746E28" w:rsidRPr="00891BCC" w:rsidRDefault="00746E28" w:rsidP="00B248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35CE1" w14:textId="77777777" w:rsidR="00746E28" w:rsidRPr="00F23E70" w:rsidRDefault="00746E28" w:rsidP="00F614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sk-SK"/>
        </w:rPr>
      </w:pP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>Systém kontroly cezhraničnej prepravy peňažných prostriedkov zo a aj do štátov, ktoré nie sú členmi Európskej únie upravuje Nariadenie Európskeho parlamentu a Rady (ES) č.</w:t>
      </w:r>
      <w:r>
        <w:rPr>
          <w:rFonts w:ascii="Times New Roman" w:eastAsia="Batang" w:hAnsi="Times New Roman"/>
          <w:sz w:val="24"/>
          <w:szCs w:val="24"/>
          <w:lang w:eastAsia="sk-SK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1889/2005 o kontrole 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peňažných prostriedkov v hotovosti, ktoré vstupujú do Spoločenstva </w:t>
      </w:r>
      <w:r w:rsidRPr="00F23E70">
        <w:rPr>
          <w:rFonts w:ascii="Times New Roman" w:eastAsia="Batang" w:hAnsi="Times New Roman" w:cs="Times New Roman"/>
          <w:sz w:val="24"/>
          <w:szCs w:val="24"/>
          <w:lang w:eastAsia="sk-SK"/>
        </w:rPr>
        <w:t>alebo vystupujú zo Spoločenstva, zákon č. 199/2004 Z.</w:t>
      </w:r>
      <w:r w:rsidRPr="00F23E70">
        <w:rPr>
          <w:rFonts w:ascii="Times New Roman" w:eastAsia="Batang" w:hAnsi="Times New Roman"/>
          <w:sz w:val="24"/>
          <w:szCs w:val="24"/>
          <w:lang w:eastAsia="sk-SK"/>
        </w:rPr>
        <w:t> </w:t>
      </w:r>
      <w:r w:rsidRPr="00F23E70">
        <w:rPr>
          <w:rFonts w:ascii="Times New Roman" w:eastAsia="Batang" w:hAnsi="Times New Roman" w:cs="Times New Roman"/>
          <w:sz w:val="24"/>
          <w:szCs w:val="24"/>
          <w:lang w:eastAsia="sk-SK"/>
        </w:rPr>
        <w:t>z. Colný zákon a o zmene a doplnení niektorých zákonov v znení neskorších predpisov (ďalej len „Colný zákon“) a zákon č.</w:t>
      </w:r>
      <w:r w:rsidRPr="00F23E70">
        <w:rPr>
          <w:rFonts w:ascii="Times New Roman" w:eastAsia="Batang" w:hAnsi="Times New Roman"/>
          <w:sz w:val="24"/>
          <w:szCs w:val="24"/>
          <w:lang w:eastAsia="sk-SK"/>
        </w:rPr>
        <w:t> </w:t>
      </w:r>
      <w:r w:rsidRPr="00F23E70">
        <w:rPr>
          <w:rFonts w:ascii="Times New Roman" w:eastAsia="Batang" w:hAnsi="Times New Roman" w:cs="Times New Roman"/>
          <w:sz w:val="24"/>
          <w:szCs w:val="24"/>
          <w:lang w:eastAsia="sk-SK"/>
        </w:rPr>
        <w:t>652/2004 Z.</w:t>
      </w:r>
      <w:r w:rsidRPr="00F23E70">
        <w:rPr>
          <w:rFonts w:ascii="Times New Roman" w:eastAsia="Batang" w:hAnsi="Times New Roman"/>
          <w:sz w:val="24"/>
          <w:szCs w:val="24"/>
          <w:lang w:eastAsia="sk-SK"/>
        </w:rPr>
        <w:t> </w:t>
      </w:r>
      <w:r w:rsidRPr="00F23E70">
        <w:rPr>
          <w:rFonts w:ascii="Times New Roman" w:eastAsia="Batang" w:hAnsi="Times New Roman" w:cs="Times New Roman"/>
          <w:sz w:val="24"/>
          <w:szCs w:val="24"/>
          <w:lang w:eastAsia="sk-SK"/>
        </w:rPr>
        <w:t>z. o orgánoch štátnej správy v colníctve a o zmene a doplnení niektorých zákonov v znení neskorších predpisov.</w:t>
      </w:r>
    </w:p>
    <w:p w14:paraId="55835CE2" w14:textId="77777777" w:rsidR="00746E28" w:rsidRPr="00891BCC" w:rsidRDefault="00746E28" w:rsidP="00F614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sk-SK"/>
        </w:rPr>
      </w:pPr>
      <w:r w:rsidRPr="00380A0A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FSJ v roku 2013 prijala podľa § 4 ods. 4 Colného zákona od Colného riaditeľstva Slovenskej republiky </w:t>
      </w:r>
      <w:r w:rsidRPr="00380A0A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>58</w:t>
      </w:r>
      <w:r w:rsidRPr="00380A0A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ohlásení o preprave peňažných prostriedkov v hotovosti v celkovej výške </w:t>
      </w:r>
      <w:r w:rsidRPr="00380A0A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>1.942.132,56 EUR</w:t>
      </w:r>
      <w:r w:rsidRPr="00380A0A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. Ohlásenia o preprave peňažných prostriedkov v hotovosti podané povinnými osobami na </w:t>
      </w:r>
      <w:r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príslušnom </w:t>
      </w:r>
      <w:r w:rsidRPr="00380A0A">
        <w:rPr>
          <w:rFonts w:ascii="Times New Roman" w:eastAsia="Batang" w:hAnsi="Times New Roman" w:cs="Times New Roman"/>
          <w:sz w:val="24"/>
          <w:szCs w:val="24"/>
          <w:lang w:eastAsia="sk-SK"/>
        </w:rPr>
        <w:t>tlačive boli prijaté z cestného hraničného priechodu Vyšné Nemecké (v 1 prípade z cestného hraničného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priechodu Ubľa) – vo všetkých prípadoch išlo o vstup peňažnej hotovosti na územie SR z tretieho štátu, hlavne z Ukrajiny, v 1 prípade z Kazachstanu a z Ruskej federácie. FSJ prijala ohlásenia o preprave peňažnej hotovosti, ktoré vstupovali alebo vystupovali z územia SR leteckou dopravou, a síce 13 ohlásení z letiska M. R. Štefánika a 1 ohlásenie z letiska Zvolen a letiska Košice. Z toho v 11 prípadoch bol zaznamenaný dovoz hotovosti (7x občanmi z</w:t>
      </w:r>
      <w:r>
        <w:rPr>
          <w:rFonts w:ascii="Times New Roman" w:eastAsia="Batang" w:hAnsi="Times New Roman"/>
          <w:sz w:val="24"/>
          <w:szCs w:val="24"/>
          <w:lang w:eastAsia="sk-SK"/>
        </w:rPr>
        <w:t> 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>Ukrajiny a 4x občanmi z Ruskej federácie) a v 4 prípadoch išlo o vývoz z územia SR občanmi SR (vždy išlo o doplnenie stálej zálohy pre ISAF Afganistan a SLOVCON Cyprus).</w:t>
      </w:r>
    </w:p>
    <w:p w14:paraId="55835CE3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CE4" w14:textId="77777777" w:rsidR="00746E28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3B03">
        <w:rPr>
          <w:rFonts w:ascii="Times New Roman" w:eastAsia="Batang" w:hAnsi="Times New Roman" w:cs="Times New Roman"/>
          <w:sz w:val="20"/>
          <w:szCs w:val="20"/>
          <w:lang w:eastAsia="sk-SK"/>
        </w:rPr>
        <w:t xml:space="preserve">Tabuľka č. </w:t>
      </w:r>
      <w:r>
        <w:rPr>
          <w:rFonts w:ascii="Times New Roman" w:eastAsia="Batang" w:hAnsi="Times New Roman" w:cs="Times New Roman"/>
          <w:sz w:val="20"/>
          <w:szCs w:val="20"/>
          <w:lang w:eastAsia="sk-SK"/>
        </w:rPr>
        <w:t xml:space="preserve">13: </w:t>
      </w:r>
      <w:r w:rsidRPr="00E03B03">
        <w:rPr>
          <w:rFonts w:ascii="Times New Roman" w:hAnsi="Times New Roman" w:cs="Times New Roman"/>
          <w:sz w:val="20"/>
          <w:szCs w:val="20"/>
        </w:rPr>
        <w:t>Prehľad</w:t>
      </w:r>
      <w:r w:rsidRPr="00F668A0">
        <w:rPr>
          <w:rFonts w:ascii="Times New Roman" w:hAnsi="Times New Roman" w:cs="Times New Roman"/>
          <w:sz w:val="20"/>
          <w:szCs w:val="20"/>
        </w:rPr>
        <w:t xml:space="preserve"> počtov hlásení o preprave peňažných prostriedkov z/do Európskej únie prijatých</w:t>
      </w:r>
      <w:r>
        <w:rPr>
          <w:rFonts w:ascii="Times New Roman" w:hAnsi="Times New Roman" w:cs="Times New Roman"/>
          <w:sz w:val="20"/>
          <w:szCs w:val="20"/>
        </w:rPr>
        <w:t xml:space="preserve"> FSJ</w:t>
      </w:r>
      <w:r w:rsidRPr="00F668A0">
        <w:rPr>
          <w:rFonts w:ascii="Times New Roman" w:hAnsi="Times New Roman" w:cs="Times New Roman"/>
          <w:sz w:val="20"/>
          <w:szCs w:val="20"/>
        </w:rPr>
        <w:t xml:space="preserve"> a výšky prepravovaných peňažných prostriedkov v rokoch 20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F668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668A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5835CE5" w14:textId="77777777" w:rsidR="00746E28" w:rsidRPr="00891BCC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3071"/>
        <w:gridCol w:w="3071"/>
      </w:tblGrid>
      <w:tr w:rsidR="00746E28" w:rsidRPr="00257297" w14:paraId="55835CEB" w14:textId="77777777">
        <w:trPr>
          <w:trHeight w:val="687"/>
        </w:trPr>
        <w:tc>
          <w:tcPr>
            <w:tcW w:w="2962" w:type="dxa"/>
            <w:vAlign w:val="center"/>
          </w:tcPr>
          <w:p w14:paraId="55835CE6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071" w:type="dxa"/>
            <w:vAlign w:val="center"/>
          </w:tcPr>
          <w:p w14:paraId="55835CE7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 PRIJATÝCH HLÁSENÍ</w:t>
            </w:r>
          </w:p>
        </w:tc>
        <w:tc>
          <w:tcPr>
            <w:tcW w:w="3071" w:type="dxa"/>
            <w:vAlign w:val="center"/>
          </w:tcPr>
          <w:p w14:paraId="55835CE8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35CE9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VÝŠKA PREPRAVOVANÝCH PEŇAŽNÝCH PROSTRIEDKOV</w:t>
            </w:r>
          </w:p>
          <w:p w14:paraId="55835CEA" w14:textId="77777777" w:rsidR="00746E28" w:rsidRPr="00257297" w:rsidRDefault="00746E28" w:rsidP="00257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746E28" w:rsidRPr="00257297" w14:paraId="55835CEF" w14:textId="77777777" w:rsidTr="0010306F">
        <w:trPr>
          <w:trHeight w:val="567"/>
        </w:trPr>
        <w:tc>
          <w:tcPr>
            <w:tcW w:w="2962" w:type="dxa"/>
            <w:vAlign w:val="center"/>
          </w:tcPr>
          <w:p w14:paraId="55835CEC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071" w:type="dxa"/>
            <w:vAlign w:val="center"/>
          </w:tcPr>
          <w:p w14:paraId="55835CED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  <w:vAlign w:val="center"/>
          </w:tcPr>
          <w:p w14:paraId="55835CEE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125.400</w:t>
            </w:r>
          </w:p>
        </w:tc>
      </w:tr>
      <w:tr w:rsidR="00746E28" w:rsidRPr="00257297" w14:paraId="55835CF3" w14:textId="77777777" w:rsidTr="0010306F">
        <w:trPr>
          <w:trHeight w:val="567"/>
        </w:trPr>
        <w:tc>
          <w:tcPr>
            <w:tcW w:w="2962" w:type="dxa"/>
            <w:vAlign w:val="center"/>
          </w:tcPr>
          <w:p w14:paraId="55835CF0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3071" w:type="dxa"/>
            <w:vAlign w:val="center"/>
          </w:tcPr>
          <w:p w14:paraId="55835CF1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1" w:type="dxa"/>
            <w:vAlign w:val="center"/>
          </w:tcPr>
          <w:p w14:paraId="55835CF2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1.241.178</w:t>
            </w:r>
          </w:p>
        </w:tc>
      </w:tr>
      <w:tr w:rsidR="00746E28" w:rsidRPr="00257297" w14:paraId="55835CF7" w14:textId="77777777" w:rsidTr="0010306F">
        <w:trPr>
          <w:trHeight w:val="567"/>
        </w:trPr>
        <w:tc>
          <w:tcPr>
            <w:tcW w:w="2962" w:type="dxa"/>
            <w:vAlign w:val="center"/>
          </w:tcPr>
          <w:p w14:paraId="55835CF4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071" w:type="dxa"/>
            <w:vAlign w:val="center"/>
          </w:tcPr>
          <w:p w14:paraId="55835CF5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1" w:type="dxa"/>
            <w:vAlign w:val="center"/>
          </w:tcPr>
          <w:p w14:paraId="55835CF6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312.637</w:t>
            </w:r>
          </w:p>
        </w:tc>
      </w:tr>
      <w:tr w:rsidR="00746E28" w:rsidRPr="00257297" w14:paraId="55835CFB" w14:textId="77777777" w:rsidTr="0010306F">
        <w:trPr>
          <w:trHeight w:val="567"/>
        </w:trPr>
        <w:tc>
          <w:tcPr>
            <w:tcW w:w="2962" w:type="dxa"/>
            <w:vAlign w:val="center"/>
          </w:tcPr>
          <w:p w14:paraId="55835CF8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3071" w:type="dxa"/>
            <w:vAlign w:val="center"/>
          </w:tcPr>
          <w:p w14:paraId="55835CF9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1" w:type="dxa"/>
            <w:vAlign w:val="center"/>
          </w:tcPr>
          <w:p w14:paraId="55835CFA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1.649.419,38</w:t>
            </w:r>
          </w:p>
        </w:tc>
      </w:tr>
      <w:tr w:rsidR="00746E28" w:rsidRPr="00257297" w14:paraId="55835CFF" w14:textId="77777777" w:rsidTr="0010306F">
        <w:trPr>
          <w:trHeight w:val="567"/>
        </w:trPr>
        <w:tc>
          <w:tcPr>
            <w:tcW w:w="2962" w:type="dxa"/>
            <w:vAlign w:val="center"/>
          </w:tcPr>
          <w:p w14:paraId="55835CFC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071" w:type="dxa"/>
            <w:vAlign w:val="center"/>
          </w:tcPr>
          <w:p w14:paraId="55835CFD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1" w:type="dxa"/>
            <w:vAlign w:val="center"/>
          </w:tcPr>
          <w:p w14:paraId="55835CFE" w14:textId="77777777" w:rsidR="00746E28" w:rsidRPr="00257297" w:rsidRDefault="00746E28" w:rsidP="00103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97">
              <w:rPr>
                <w:rFonts w:ascii="Times New Roman" w:hAnsi="Times New Roman" w:cs="Times New Roman"/>
                <w:sz w:val="24"/>
                <w:szCs w:val="24"/>
              </w:rPr>
              <w:t>1.942.132,56</w:t>
            </w:r>
          </w:p>
        </w:tc>
      </w:tr>
    </w:tbl>
    <w:p w14:paraId="55835D00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1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2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3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4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5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6" w14:textId="77777777" w:rsidR="00746E28" w:rsidRPr="00B10C3F" w:rsidRDefault="00746E28" w:rsidP="007A3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C3F">
        <w:rPr>
          <w:rFonts w:ascii="Times New Roman" w:hAnsi="Times New Roman" w:cs="Times New Roman"/>
          <w:sz w:val="20"/>
          <w:szCs w:val="20"/>
        </w:rPr>
        <w:lastRenderedPageBreak/>
        <w:t xml:space="preserve">Graf č.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10C3F">
        <w:rPr>
          <w:rFonts w:ascii="Times New Roman" w:hAnsi="Times New Roman" w:cs="Times New Roman"/>
          <w:sz w:val="20"/>
          <w:szCs w:val="20"/>
        </w:rPr>
        <w:t>: Výška peňažných prostriedkov prepravovaných z/do Euró</w:t>
      </w:r>
      <w:r>
        <w:rPr>
          <w:rFonts w:ascii="Times New Roman" w:hAnsi="Times New Roman" w:cs="Times New Roman"/>
          <w:sz w:val="20"/>
          <w:szCs w:val="20"/>
        </w:rPr>
        <w:t>pskej únie v rokoch 2009 – 2013</w:t>
      </w:r>
    </w:p>
    <w:p w14:paraId="55835D07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8" w14:textId="1D29F4FE" w:rsidR="00746E28" w:rsidRDefault="00E74483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color w:val="E36C0A"/>
          <w:sz w:val="20"/>
          <w:szCs w:val="20"/>
          <w:lang w:eastAsia="sk-SK"/>
        </w:rPr>
        <w:drawing>
          <wp:inline distT="0" distB="0" distL="0" distR="0" wp14:anchorId="55835D4A" wp14:editId="2D01125B">
            <wp:extent cx="5693410" cy="3355340"/>
            <wp:effectExtent l="0" t="0" r="0" b="0"/>
            <wp:docPr id="6" name="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5835D09" w14:textId="77777777" w:rsidR="00746E28" w:rsidRDefault="00746E28" w:rsidP="007A3EA9">
      <w:pPr>
        <w:spacing w:after="0"/>
        <w:jc w:val="both"/>
        <w:rPr>
          <w:rFonts w:ascii="Times New Roman" w:eastAsia="Batang" w:hAnsi="Times New Roman"/>
          <w:sz w:val="24"/>
          <w:szCs w:val="24"/>
          <w:lang w:eastAsia="sk-SK"/>
        </w:rPr>
      </w:pPr>
    </w:p>
    <w:p w14:paraId="55835D0A" w14:textId="77777777" w:rsidR="00746E28" w:rsidRPr="00891BCC" w:rsidRDefault="00746E28" w:rsidP="00B248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sk-SK"/>
        </w:rPr>
      </w:pPr>
      <w:r>
        <w:rPr>
          <w:rFonts w:ascii="Times New Roman" w:eastAsia="Batang" w:hAnsi="Times New Roman" w:cs="Times New Roman"/>
          <w:sz w:val="24"/>
          <w:szCs w:val="24"/>
          <w:lang w:eastAsia="sk-SK"/>
        </w:rPr>
        <w:t>Najčastejšie deklarovaným ú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>čelom použitia prepravovanej peňažnej hotovosti bola kúpa motorového vozidla na Slovensku, v Nemecku, Poľsku, Rakúsku, Taliansku a</w:t>
      </w:r>
      <w:r>
        <w:rPr>
          <w:rFonts w:ascii="Times New Roman" w:eastAsia="Batang" w:hAnsi="Times New Roman" w:cs="Times New Roman"/>
          <w:sz w:val="24"/>
          <w:szCs w:val="24"/>
          <w:lang w:eastAsia="sk-SK"/>
        </w:rPr>
        <w:t> 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v Maďarsku, vklad na účet v slovenskej banke, či osobná potreba, v niektorých prípadoch účel použitia uvedený nebol. </w:t>
      </w:r>
      <w:r>
        <w:rPr>
          <w:rFonts w:ascii="Times New Roman" w:eastAsia="Batang" w:hAnsi="Times New Roman" w:cs="Times New Roman"/>
          <w:sz w:val="24"/>
          <w:szCs w:val="24"/>
          <w:lang w:eastAsia="sk-SK"/>
        </w:rPr>
        <w:t>V ostatnom čase FSJ eviduje nárast prípadov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preprav</w:t>
      </w:r>
      <w:r>
        <w:rPr>
          <w:rFonts w:ascii="Times New Roman" w:eastAsia="Batang" w:hAnsi="Times New Roman" w:cs="Times New Roman"/>
          <w:sz w:val="24"/>
          <w:szCs w:val="24"/>
          <w:lang w:eastAsia="sk-SK"/>
        </w:rPr>
        <w:t>y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peňažnej hotovosti za účelom kúpy nehnuteľnosti na území SR (13 prípadov). V 1 prípade občan SR prepravoval leteckou dopravou zo Švajčiarska 50 ks zlatých mincí.</w:t>
      </w:r>
    </w:p>
    <w:p w14:paraId="55835D0B" w14:textId="77777777" w:rsidR="00746E28" w:rsidRPr="00891BCC" w:rsidRDefault="00746E28" w:rsidP="00B248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sk-SK"/>
        </w:rPr>
      </w:pP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>FSJ prijala 1 oznámenie z Finančného riaditeľstva SR, sekcia daňová a colná, postúpené z Finančného (colného) úradu v Dubline o zaistení hotovosti vo výške 20.000,-</w:t>
      </w:r>
      <w:r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EUR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u občana SR, ktorý si nesplnil ohlasovaciu povinnosť vyplývajúcu z nariadenia ES č.</w:t>
      </w:r>
      <w:r>
        <w:rPr>
          <w:rFonts w:ascii="Times New Roman" w:eastAsia="Batang" w:hAnsi="Times New Roman"/>
          <w:sz w:val="24"/>
          <w:szCs w:val="24"/>
          <w:lang w:eastAsia="sk-SK"/>
        </w:rPr>
        <w:t> 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>1889/2005 o kontrole peňažných prostriedkov v hotovosti, ktoré vstupujú do Spoločenstva alebo vystupujú zo Spoločenstva a 1 oznámenie postúpené z Colného úradu v Innsbrucku o zaistení dokumentov, ktoré poukazovali na bankové obchody realizované občanom SR. Po</w:t>
      </w:r>
      <w:r>
        <w:rPr>
          <w:rFonts w:ascii="Times New Roman" w:eastAsia="Batang" w:hAnsi="Times New Roman"/>
          <w:sz w:val="24"/>
          <w:szCs w:val="24"/>
          <w:lang w:eastAsia="sk-SK"/>
        </w:rPr>
        <w:t> </w:t>
      </w:r>
      <w:r w:rsidRPr="00891BCC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preverení oboch prípadov boli informácie vyhodnotené a uložené </w:t>
      </w:r>
      <w:r>
        <w:rPr>
          <w:rFonts w:ascii="Times New Roman" w:eastAsia="Batang" w:hAnsi="Times New Roman" w:cs="Times New Roman"/>
          <w:sz w:val="24"/>
          <w:szCs w:val="24"/>
          <w:lang w:eastAsia="sk-SK"/>
        </w:rPr>
        <w:t>do databázy na ďalšie využitie.</w:t>
      </w:r>
    </w:p>
    <w:p w14:paraId="55835D0C" w14:textId="77777777" w:rsidR="00746E28" w:rsidRDefault="00746E28" w:rsidP="00B248BB">
      <w:pPr>
        <w:pStyle w:val="Odsekzoznamu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CC">
        <w:rPr>
          <w:rFonts w:ascii="Times New Roman" w:hAnsi="Times New Roman" w:cs="Times New Roman"/>
          <w:sz w:val="24"/>
          <w:szCs w:val="24"/>
        </w:rPr>
        <w:t>Informácie z prijatých ohlásení o preprave peňažných prostriedkov v hotovosti boli po vykonanom preverovaní v dostupných informačných systémoch PZ, vrátane informačného systému FSJ a otvorených zdrojoch uložené do databázy FSJ pre ďalšie využitie (</w:t>
      </w:r>
      <w:r>
        <w:rPr>
          <w:rFonts w:ascii="Times New Roman" w:hAnsi="Times New Roman" w:cs="Times New Roman"/>
          <w:sz w:val="24"/>
          <w:szCs w:val="24"/>
        </w:rPr>
        <w:t xml:space="preserve">v počte </w:t>
      </w:r>
      <w:r w:rsidRPr="00891BCC">
        <w:rPr>
          <w:rFonts w:ascii="Times New Roman" w:hAnsi="Times New Roman" w:cs="Times New Roman"/>
          <w:sz w:val="24"/>
          <w:szCs w:val="24"/>
        </w:rPr>
        <w:t>52), v troch prípadoch bola odstúpená spontánna informácia pre ďalšie využitie FIU Ukrajina a rovnako v troch prípadoch FIU Rusko.</w:t>
      </w:r>
    </w:p>
    <w:p w14:paraId="55835D0D" w14:textId="77777777" w:rsidR="00746E28" w:rsidRDefault="00746E28" w:rsidP="007A3EA9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D0E" w14:textId="77777777" w:rsidR="00746E28" w:rsidRDefault="00746E28" w:rsidP="007A3EA9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D0F" w14:textId="77777777" w:rsidR="00746E28" w:rsidRPr="00380837" w:rsidRDefault="00746E28" w:rsidP="00D22E99">
      <w:pPr>
        <w:pStyle w:val="Nadpis1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_Toc382129843"/>
      <w:bookmarkStart w:id="67" w:name="_Toc382130005"/>
      <w:bookmarkStart w:id="68" w:name="_Toc382130536"/>
      <w:bookmarkStart w:id="69" w:name="_Toc382141495"/>
      <w:bookmarkStart w:id="70" w:name="_Toc382141692"/>
      <w:r w:rsidRPr="00380837">
        <w:rPr>
          <w:rFonts w:ascii="Times New Roman" w:hAnsi="Times New Roman"/>
          <w:sz w:val="28"/>
          <w:szCs w:val="28"/>
        </w:rPr>
        <w:lastRenderedPageBreak/>
        <w:t>7. Prognózy do budúcich období v oblasti legalizácie a financovania terorizmu</w:t>
      </w:r>
      <w:bookmarkEnd w:id="66"/>
      <w:bookmarkEnd w:id="67"/>
      <w:bookmarkEnd w:id="68"/>
      <w:bookmarkEnd w:id="69"/>
      <w:bookmarkEnd w:id="70"/>
    </w:p>
    <w:p w14:paraId="55835D10" w14:textId="77777777" w:rsidR="00746E28" w:rsidRPr="00BD3660" w:rsidRDefault="00746E28" w:rsidP="00E87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35D11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Zneužitie inštitútu platobnej inštitúcie, najmä jej nižších organizačných zložiek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660">
        <w:rPr>
          <w:rFonts w:ascii="Times New Roman" w:hAnsi="Times New Roman" w:cs="Times New Roman"/>
          <w:sz w:val="24"/>
          <w:szCs w:val="24"/>
        </w:rPr>
        <w:t>prostredníkov poskytujúcich jej služby, ich zriadenie za účelom zahmlenia finančných tokov a legalizácie.</w:t>
      </w:r>
    </w:p>
    <w:p w14:paraId="55835D12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Expandovanie zahraničných platobných inštitúcií na územ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D3660">
        <w:rPr>
          <w:rFonts w:ascii="Times New Roman" w:hAnsi="Times New Roman" w:cs="Times New Roman"/>
          <w:sz w:val="24"/>
          <w:szCs w:val="24"/>
        </w:rPr>
        <w:t xml:space="preserve"> SR za účelom vytvorenia vlastného kontrolovaného platobného styku.</w:t>
      </w:r>
    </w:p>
    <w:p w14:paraId="55835D13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Vytvorenie špecializovaných spoločností a profilácia odborníkov vykonávajúcich ukrytie a umiestnenie príjmov z trestnej činnosti a ich legalizáciu na objednávku.</w:t>
      </w:r>
    </w:p>
    <w:p w14:paraId="55835D14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Investície subjektov páchajúcich trestnú činnosť najmä do nehnuteľností, cenných papierov, tovaru vysokej hodnoty a kúpa obchodných podielov spoločností.</w:t>
      </w:r>
    </w:p>
    <w:p w14:paraId="55835D15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D3660">
        <w:rPr>
          <w:rFonts w:ascii="Times New Roman" w:hAnsi="Times New Roman" w:cs="Times New Roman"/>
          <w:sz w:val="24"/>
          <w:szCs w:val="24"/>
        </w:rPr>
        <w:t>yššia organizovanosť a flexibilita páchateľov</w:t>
      </w:r>
      <w:r>
        <w:rPr>
          <w:rFonts w:ascii="Times New Roman" w:hAnsi="Times New Roman" w:cs="Times New Roman"/>
          <w:sz w:val="24"/>
          <w:szCs w:val="24"/>
        </w:rPr>
        <w:t xml:space="preserve"> na medzinárodnej úrovni</w:t>
      </w:r>
      <w:r w:rsidRPr="00BD3660">
        <w:rPr>
          <w:rFonts w:ascii="Times New Roman" w:hAnsi="Times New Roman" w:cs="Times New Roman"/>
          <w:sz w:val="24"/>
          <w:szCs w:val="24"/>
        </w:rPr>
        <w:t>, pri umiestňovaní špinavých peňazí pochádzajúcich hlavne z internetového podvodu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660">
        <w:rPr>
          <w:rFonts w:ascii="Times New Roman" w:hAnsi="Times New Roman" w:cs="Times New Roman"/>
          <w:sz w:val="24"/>
          <w:szCs w:val="24"/>
        </w:rPr>
        <w:t>phishingu, pri</w:t>
      </w:r>
      <w:r>
        <w:rPr>
          <w:rFonts w:ascii="Times New Roman" w:hAnsi="Times New Roman" w:cs="Times New Roman"/>
          <w:sz w:val="24"/>
          <w:szCs w:val="24"/>
        </w:rPr>
        <w:t xml:space="preserve">čom v prípadoch organizovaných skupín ide </w:t>
      </w:r>
      <w:r w:rsidRPr="00BD3660">
        <w:rPr>
          <w:rFonts w:ascii="Times New Roman" w:hAnsi="Times New Roman" w:cs="Times New Roman"/>
          <w:sz w:val="24"/>
          <w:szCs w:val="24"/>
        </w:rPr>
        <w:t>často o národnos</w:t>
      </w:r>
      <w:r>
        <w:rPr>
          <w:rFonts w:ascii="Times New Roman" w:hAnsi="Times New Roman" w:cs="Times New Roman"/>
          <w:sz w:val="24"/>
          <w:szCs w:val="24"/>
        </w:rPr>
        <w:t xml:space="preserve">tné komunity, s reálnym </w:t>
      </w:r>
      <w:r w:rsidRPr="00BD3660">
        <w:rPr>
          <w:rFonts w:ascii="Times New Roman" w:hAnsi="Times New Roman" w:cs="Times New Roman"/>
          <w:sz w:val="24"/>
          <w:szCs w:val="24"/>
        </w:rPr>
        <w:t>predpoklad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D3660">
        <w:rPr>
          <w:rFonts w:ascii="Times New Roman" w:hAnsi="Times New Roman" w:cs="Times New Roman"/>
          <w:sz w:val="24"/>
          <w:szCs w:val="24"/>
        </w:rPr>
        <w:t xml:space="preserve"> vzájomnej kooperácie viacerých takýchto skupín s rôznou národnosťou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35D16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Zvýšenie medzinárodnej organizovanosti páchateľov krádeží motorových vozidiel, pozmeňovania identifikačných znakov motorových vozidiel a</w:t>
      </w:r>
      <w:r>
        <w:rPr>
          <w:rFonts w:ascii="Times New Roman" w:hAnsi="Times New Roman" w:cs="Times New Roman"/>
          <w:sz w:val="24"/>
          <w:szCs w:val="24"/>
        </w:rPr>
        <w:t xml:space="preserve"> ich </w:t>
      </w:r>
      <w:r w:rsidRPr="00BD3660">
        <w:rPr>
          <w:rFonts w:ascii="Times New Roman" w:hAnsi="Times New Roman" w:cs="Times New Roman"/>
          <w:sz w:val="24"/>
          <w:szCs w:val="24"/>
        </w:rPr>
        <w:t>následnej legalizácie prostredníctvom faloš</w:t>
      </w:r>
      <w:r>
        <w:rPr>
          <w:rFonts w:ascii="Times New Roman" w:hAnsi="Times New Roman" w:cs="Times New Roman"/>
          <w:sz w:val="24"/>
          <w:szCs w:val="24"/>
        </w:rPr>
        <w:t>ných dokladov v tretej krajine.</w:t>
      </w:r>
    </w:p>
    <w:p w14:paraId="55835D17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Rozmach využívania domácich a zahraničných účtov slúžiacich na on-line stávkovanie.</w:t>
      </w:r>
    </w:p>
    <w:p w14:paraId="55835D18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Snaha o expandovanie vysokého hazardu na územie SR.</w:t>
      </w:r>
    </w:p>
    <w:p w14:paraId="55835D19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 xml:space="preserve">Postupný prechod obchodovania s ľuďmi, drogami, zbraňami a motorovými vozidlami </w:t>
      </w:r>
      <w:r>
        <w:rPr>
          <w:rFonts w:ascii="Times New Roman" w:hAnsi="Times New Roman" w:cs="Times New Roman"/>
          <w:sz w:val="24"/>
          <w:szCs w:val="24"/>
        </w:rPr>
        <w:t>z fyzických</w:t>
      </w:r>
      <w:r w:rsidRPr="00BD3660">
        <w:rPr>
          <w:rFonts w:ascii="Times New Roman" w:hAnsi="Times New Roman" w:cs="Times New Roman"/>
          <w:sz w:val="24"/>
          <w:szCs w:val="24"/>
        </w:rPr>
        <w:t xml:space="preserve"> osôb na obchodné spoločnosti v snahe zaviesť príjmy z takejto činnosti do legálneho </w:t>
      </w:r>
      <w:r>
        <w:rPr>
          <w:rFonts w:ascii="Times New Roman" w:hAnsi="Times New Roman" w:cs="Times New Roman"/>
          <w:sz w:val="24"/>
          <w:szCs w:val="24"/>
        </w:rPr>
        <w:t>podnikateľského prostredia</w:t>
      </w:r>
      <w:r w:rsidRPr="00BD3660">
        <w:rPr>
          <w:rFonts w:ascii="Times New Roman" w:hAnsi="Times New Roman" w:cs="Times New Roman"/>
          <w:sz w:val="24"/>
          <w:szCs w:val="24"/>
        </w:rPr>
        <w:t>, ako aj v snahe uľahčiť platobný styk.</w:t>
      </w:r>
    </w:p>
    <w:p w14:paraId="55835D1A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Postupné, aj nevedomé zapájanie nefinančného sektora do procesu legalizácie, najmä notárov, advokátov, audítorov, realitných maklérov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35D1B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70">
        <w:rPr>
          <w:rFonts w:ascii="Times New Roman" w:hAnsi="Times New Roman" w:cs="Times New Roman"/>
          <w:sz w:val="24"/>
          <w:szCs w:val="24"/>
        </w:rPr>
        <w:t>Využívanie a aktívne zapájanie daňových poradcov, účtovníkov vo fáze</w:t>
      </w:r>
      <w:r w:rsidRPr="00BD3660">
        <w:rPr>
          <w:rFonts w:ascii="Times New Roman" w:hAnsi="Times New Roman" w:cs="Times New Roman"/>
          <w:sz w:val="24"/>
          <w:szCs w:val="24"/>
        </w:rPr>
        <w:t xml:space="preserve"> umiestňovania, zmiešavania a integrovania špinavých peňazí do legálnej ekonomiky, prostredníctvom využitia svojich účtov, resp. účtov pripr</w:t>
      </w:r>
      <w:r>
        <w:rPr>
          <w:rFonts w:ascii="Times New Roman" w:hAnsi="Times New Roman" w:cs="Times New Roman"/>
          <w:sz w:val="24"/>
          <w:szCs w:val="24"/>
        </w:rPr>
        <w:t>avených obchodných spoločností.</w:t>
      </w:r>
    </w:p>
    <w:p w14:paraId="55835D1C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Zvýšenie počtu zakladania neziskových organizácií, neinvestičných fondov a nadácií pri súčasnom zvýšen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D3660">
        <w:rPr>
          <w:rFonts w:ascii="Times New Roman" w:hAnsi="Times New Roman" w:cs="Times New Roman"/>
          <w:sz w:val="24"/>
          <w:szCs w:val="24"/>
        </w:rPr>
        <w:t xml:space="preserve"> počtu zahraničných finančných transakcií reali</w:t>
      </w:r>
      <w:r>
        <w:rPr>
          <w:rFonts w:ascii="Times New Roman" w:hAnsi="Times New Roman" w:cs="Times New Roman"/>
          <w:sz w:val="24"/>
          <w:szCs w:val="24"/>
        </w:rPr>
        <w:t>zovaných prostredníctvom týchto organizácií.</w:t>
      </w:r>
    </w:p>
    <w:p w14:paraId="55835D1D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60">
        <w:rPr>
          <w:rFonts w:ascii="Times New Roman" w:hAnsi="Times New Roman" w:cs="Times New Roman"/>
          <w:sz w:val="24"/>
          <w:szCs w:val="24"/>
        </w:rPr>
        <w:t>Umiestňovanie príjmov z trestnej činnosti na účty životného poistenia a iné alternatívne sporiace produkty mimo bánk.</w:t>
      </w:r>
    </w:p>
    <w:p w14:paraId="55835D1E" w14:textId="77777777" w:rsidR="00746E28" w:rsidRPr="00BD3660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Pretrvávajúce</w:t>
      </w:r>
      <w:r w:rsidRPr="00BD3660">
        <w:rPr>
          <w:rFonts w:ascii="Times New Roman" w:hAnsi="Times New Roman" w:cs="Times New Roman"/>
          <w:sz w:val="24"/>
          <w:szCs w:val="24"/>
        </w:rPr>
        <w:t xml:space="preserve"> narastanie počtov transakcií realizov</w:t>
      </w:r>
      <w:r>
        <w:rPr>
          <w:rFonts w:ascii="Times New Roman" w:hAnsi="Times New Roman" w:cs="Times New Roman"/>
          <w:sz w:val="24"/>
          <w:szCs w:val="24"/>
        </w:rPr>
        <w:t>aných v prospech spoločností so </w:t>
      </w:r>
      <w:r w:rsidRPr="00BD3660">
        <w:rPr>
          <w:rFonts w:ascii="Times New Roman" w:hAnsi="Times New Roman" w:cs="Times New Roman"/>
          <w:sz w:val="24"/>
          <w:szCs w:val="24"/>
        </w:rPr>
        <w:t>sídlom v daňových rajoch, alebo spoločností s registráciou v krajinách EÚ, ale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660">
        <w:rPr>
          <w:rFonts w:ascii="Times New Roman" w:hAnsi="Times New Roman" w:cs="Times New Roman"/>
          <w:sz w:val="24"/>
          <w:szCs w:val="24"/>
        </w:rPr>
        <w:t>majetkovým prepojením na offshore spoločnosti.</w:t>
      </w:r>
    </w:p>
    <w:p w14:paraId="55835D1F" w14:textId="77777777" w:rsidR="00746E28" w:rsidRDefault="00746E28" w:rsidP="00B248B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Predpokladaný</w:t>
      </w:r>
      <w:r w:rsidRPr="00BD3660">
        <w:rPr>
          <w:rFonts w:ascii="Times New Roman" w:hAnsi="Times New Roman" w:cs="Times New Roman"/>
          <w:sz w:val="24"/>
          <w:szCs w:val="24"/>
        </w:rPr>
        <w:t xml:space="preserve"> častejší výskyt obchodov, ktorých úhrady budú realizov</w:t>
      </w:r>
      <w:r>
        <w:rPr>
          <w:rFonts w:ascii="Times New Roman" w:hAnsi="Times New Roman" w:cs="Times New Roman"/>
          <w:sz w:val="24"/>
          <w:szCs w:val="24"/>
        </w:rPr>
        <w:t xml:space="preserve">ané virtuálnou digitálnou menou – </w:t>
      </w:r>
      <w:r w:rsidRPr="00BD3660">
        <w:rPr>
          <w:rFonts w:ascii="Times New Roman" w:hAnsi="Times New Roman" w:cs="Times New Roman"/>
          <w:sz w:val="24"/>
          <w:szCs w:val="24"/>
        </w:rPr>
        <w:t xml:space="preserve">bitcoin. Bitcoiny sa aktuálne už aj v SR dajú použiť na nákup tovaru a služieb, no dajú sa vymieňať aj za iné meny ako napríklad dolár či euro. </w:t>
      </w:r>
      <w:r w:rsidRPr="00BD3660">
        <w:rPr>
          <w:rFonts w:ascii="Times New Roman" w:hAnsi="Times New Roman" w:cs="Times New Roman"/>
          <w:sz w:val="24"/>
          <w:szCs w:val="24"/>
        </w:rPr>
        <w:lastRenderedPageBreak/>
        <w:t>Bitcoin fungu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D3660">
        <w:rPr>
          <w:rFonts w:ascii="Times New Roman" w:hAnsi="Times New Roman" w:cs="Times New Roman"/>
          <w:sz w:val="24"/>
          <w:szCs w:val="24"/>
        </w:rPr>
        <w:t>e ako distribuovaná sieť, kde sa transakcie šíria medzi jednotlivými aplikáciami nainštalovanými na počítačoch užívateľov. Medzi prijímateľom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3660">
        <w:rPr>
          <w:rFonts w:ascii="Times New Roman" w:hAnsi="Times New Roman" w:cs="Times New Roman"/>
          <w:sz w:val="24"/>
          <w:szCs w:val="24"/>
        </w:rPr>
        <w:t>odosielateľom ale nie je postavená banka, ani žiadna iná inštitúcia.</w:t>
      </w:r>
    </w:p>
    <w:p w14:paraId="55835D20" w14:textId="77777777" w:rsidR="00746E28" w:rsidRDefault="00746E28" w:rsidP="007A3EA9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D21" w14:textId="77777777" w:rsidR="00746E28" w:rsidRPr="00380837" w:rsidRDefault="00746E28" w:rsidP="00380837">
      <w:pPr>
        <w:pStyle w:val="Nadpis1"/>
        <w:ind w:firstLine="720"/>
        <w:rPr>
          <w:rFonts w:ascii="Times New Roman" w:hAnsi="Times New Roman"/>
          <w:sz w:val="28"/>
          <w:szCs w:val="28"/>
          <w:u w:val="single"/>
        </w:rPr>
      </w:pPr>
      <w:bookmarkStart w:id="71" w:name="_Toc382129844"/>
      <w:bookmarkStart w:id="72" w:name="_Toc382130006"/>
      <w:bookmarkStart w:id="73" w:name="_Toc382130537"/>
      <w:bookmarkStart w:id="74" w:name="_Toc382141496"/>
      <w:bookmarkStart w:id="75" w:name="_Toc382141693"/>
      <w:r w:rsidRPr="00380837">
        <w:rPr>
          <w:rFonts w:ascii="Times New Roman" w:hAnsi="Times New Roman"/>
          <w:sz w:val="28"/>
          <w:szCs w:val="28"/>
        </w:rPr>
        <w:t>8. Zhodnotenie spolupráce s partnerskými subjektmi</w:t>
      </w:r>
      <w:bookmarkEnd w:id="71"/>
      <w:bookmarkEnd w:id="72"/>
      <w:bookmarkEnd w:id="73"/>
      <w:bookmarkEnd w:id="74"/>
      <w:bookmarkEnd w:id="75"/>
    </w:p>
    <w:p w14:paraId="55835D22" w14:textId="77777777" w:rsidR="00746E28" w:rsidRDefault="00746E28" w:rsidP="00327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35D23" w14:textId="77777777" w:rsidR="00746E28" w:rsidRPr="0020150F" w:rsidRDefault="00746E28" w:rsidP="00E21E4D">
      <w:pPr>
        <w:spacing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B17">
        <w:rPr>
          <w:rFonts w:ascii="Times New Roman" w:hAnsi="Times New Roman" w:cs="Times New Roman"/>
          <w:sz w:val="24"/>
          <w:szCs w:val="24"/>
        </w:rPr>
        <w:t xml:space="preserve">Zástupcovia FSJ sa v rámci spolupráce s prokuratúrou zúčastnili </w:t>
      </w:r>
      <w:r w:rsidRPr="0020150F">
        <w:rPr>
          <w:rFonts w:ascii="Times New Roman" w:hAnsi="Times New Roman" w:cs="Times New Roman"/>
          <w:sz w:val="24"/>
          <w:szCs w:val="24"/>
        </w:rPr>
        <w:t xml:space="preserve">jedného pracovného stretnutia </w:t>
      </w:r>
      <w:r>
        <w:rPr>
          <w:rFonts w:ascii="Times New Roman" w:hAnsi="Times New Roman" w:cs="Times New Roman"/>
          <w:sz w:val="24"/>
          <w:szCs w:val="24"/>
        </w:rPr>
        <w:t>v záujme zjednotenia výkladu niektorých sporných ustanovení zákona o preukazovaní pôvodu majetku tak, aby zhromaždený materiál bol kvalitatívne spôsobilým podnetom</w:t>
      </w:r>
      <w:r w:rsidRPr="0020150F">
        <w:rPr>
          <w:rFonts w:ascii="Times New Roman" w:hAnsi="Times New Roman" w:cs="Times New Roman"/>
          <w:sz w:val="24"/>
          <w:szCs w:val="24"/>
        </w:rPr>
        <w:t xml:space="preserve">, na základe ktorého by prokurátor predložil súdu návrh </w:t>
      </w:r>
      <w:r w:rsidRPr="0020150F">
        <w:rPr>
          <w:rFonts w:ascii="Times New Roman" w:hAnsi="Times New Roman" w:cs="Times New Roman"/>
          <w:color w:val="231F20"/>
          <w:sz w:val="24"/>
          <w:szCs w:val="24"/>
        </w:rPr>
        <w:t>na začatie konania, ktorým by sa domáhal rozhodnutia o vyslovení nadobudnutia majetku z nelegálnych príjmov.</w:t>
      </w:r>
    </w:p>
    <w:p w14:paraId="55835D24" w14:textId="77777777" w:rsidR="00746E28" w:rsidRPr="00E872D8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FSJ najintenzívnejšie spolupracuje s Finančným riaditeľstvom SR, najmä </w:t>
      </w:r>
      <w:r w:rsidRPr="00825B17">
        <w:rPr>
          <w:rFonts w:ascii="Times New Roman" w:hAnsi="Times New Roman" w:cs="Times New Roman"/>
          <w:sz w:val="24"/>
          <w:szCs w:val="24"/>
        </w:rPr>
        <w:t>sekci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25B17">
        <w:rPr>
          <w:rFonts w:ascii="Times New Roman" w:hAnsi="Times New Roman" w:cs="Times New Roman"/>
          <w:sz w:val="24"/>
          <w:szCs w:val="24"/>
        </w:rPr>
        <w:t xml:space="preserve"> daňov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825B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5B17">
        <w:rPr>
          <w:rFonts w:ascii="Times New Roman" w:hAnsi="Times New Roman" w:cs="Times New Roman"/>
          <w:sz w:val="24"/>
          <w:szCs w:val="24"/>
        </w:rPr>
        <w:t>coln</w:t>
      </w:r>
      <w:r>
        <w:rPr>
          <w:rFonts w:ascii="Times New Roman" w:hAnsi="Times New Roman" w:cs="Times New Roman"/>
          <w:sz w:val="24"/>
          <w:szCs w:val="24"/>
        </w:rPr>
        <w:t>ou.</w:t>
      </w:r>
      <w:r w:rsidRPr="0082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Významným, pre ďalšiu vzájomnú spoluprácu, možno považovať</w:t>
      </w:r>
      <w:r w:rsidRPr="00825B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pracovné stretnutie uskutočnené v </w:t>
      </w:r>
      <w:r w:rsidRPr="00825B17">
        <w:rPr>
          <w:rFonts w:ascii="Times New Roman" w:hAnsi="Times New Roman" w:cs="Times New Roman"/>
          <w:sz w:val="24"/>
          <w:szCs w:val="24"/>
        </w:rPr>
        <w:t>marci 2013</w:t>
      </w:r>
      <w:r>
        <w:rPr>
          <w:rFonts w:ascii="Times New Roman" w:hAnsi="Times New Roman" w:cs="Times New Roman"/>
          <w:sz w:val="24"/>
          <w:szCs w:val="24"/>
        </w:rPr>
        <w:t>, na ktorom bola ustálená forma odstupovaných informácií na Finančné riaditeľstvo SR</w:t>
      </w:r>
      <w:r w:rsidRPr="00825B1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spresnili sa</w:t>
      </w:r>
      <w:r w:rsidRPr="00825B17">
        <w:rPr>
          <w:rFonts w:ascii="Times New Roman" w:hAnsi="Times New Roman" w:cs="Times New Roman"/>
          <w:sz w:val="24"/>
          <w:szCs w:val="24"/>
        </w:rPr>
        <w:t xml:space="preserve"> indikátor</w:t>
      </w:r>
      <w:r>
        <w:rPr>
          <w:rFonts w:ascii="Times New Roman" w:hAnsi="Times New Roman" w:cs="Times New Roman"/>
          <w:sz w:val="24"/>
          <w:szCs w:val="24"/>
        </w:rPr>
        <w:t xml:space="preserve">y neobvyklosti. </w:t>
      </w:r>
      <w:r w:rsidRPr="00825B17">
        <w:rPr>
          <w:rFonts w:ascii="Times New Roman" w:hAnsi="Times New Roman" w:cs="Times New Roman"/>
          <w:sz w:val="24"/>
          <w:szCs w:val="24"/>
        </w:rPr>
        <w:t xml:space="preserve">V júni 2013 zástupcovia Finančného riaditeľstva SR na pôde FSJ vykonali školenie k novým </w:t>
      </w:r>
      <w:r w:rsidRPr="00E872D8">
        <w:rPr>
          <w:rFonts w:ascii="Times New Roman" w:hAnsi="Times New Roman" w:cs="Times New Roman"/>
          <w:sz w:val="24"/>
          <w:szCs w:val="24"/>
        </w:rPr>
        <w:t>trendom páchania daňových podvodov, hlavne trestnej činnosti páchanej v súvislosti s DPH.</w:t>
      </w:r>
    </w:p>
    <w:p w14:paraId="55835D25" w14:textId="77777777" w:rsidR="00746E28" w:rsidRPr="00B248BB" w:rsidRDefault="00746E28" w:rsidP="00E21E4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cieľom </w:t>
      </w:r>
      <w:r w:rsidRPr="00914C2A">
        <w:rPr>
          <w:rFonts w:ascii="Times New Roman" w:hAnsi="Times New Roman" w:cs="Times New Roman"/>
          <w:sz w:val="24"/>
          <w:szCs w:val="24"/>
        </w:rPr>
        <w:t xml:space="preserve">zefektívnenia a skvalitnenia </w:t>
      </w:r>
      <w:r w:rsidRPr="00914C2A">
        <w:rPr>
          <w:rFonts w:ascii="Times New Roman" w:hAnsi="Times New Roman" w:cs="Times New Roman"/>
          <w:sz w:val="24"/>
          <w:szCs w:val="24"/>
          <w:lang w:eastAsia="sk-SK"/>
        </w:rPr>
        <w:t>vzájomnej spolupráce a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914C2A">
        <w:rPr>
          <w:rFonts w:ascii="Times New Roman" w:hAnsi="Times New Roman" w:cs="Times New Roman"/>
          <w:sz w:val="24"/>
          <w:szCs w:val="24"/>
          <w:lang w:eastAsia="sk-SK"/>
        </w:rPr>
        <w:t>informovanosti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medzi FSJ a Národnou bankou Slovenska v oblasti</w:t>
      </w:r>
      <w:r w:rsidRPr="00914C2A">
        <w:rPr>
          <w:rFonts w:ascii="Times New Roman" w:hAnsi="Times New Roman" w:cs="Times New Roman"/>
          <w:sz w:val="24"/>
          <w:szCs w:val="24"/>
          <w:lang w:eastAsia="sk-SK"/>
        </w:rPr>
        <w:t xml:space="preserve"> kontroly plnenia a dodržiavania povinností povinných osôb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ustanovených</w:t>
      </w:r>
      <w:r w:rsidRPr="00914C2A">
        <w:rPr>
          <w:rFonts w:ascii="Times New Roman" w:hAnsi="Times New Roman" w:cs="Times New Roman"/>
          <w:sz w:val="24"/>
          <w:szCs w:val="24"/>
          <w:lang w:eastAsia="sk-SK"/>
        </w:rPr>
        <w:t xml:space="preserve"> zákonom</w:t>
      </w:r>
      <w:r w:rsidRPr="0091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ochrane pred legalizáciou, b</w:t>
      </w:r>
      <w:r w:rsidRPr="00914C2A">
        <w:rPr>
          <w:rFonts w:ascii="Times New Roman" w:hAnsi="Times New Roman" w:cs="Times New Roman"/>
          <w:sz w:val="24"/>
          <w:szCs w:val="24"/>
        </w:rPr>
        <w:t>ola dňa 26. novembra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A">
        <w:rPr>
          <w:rFonts w:ascii="Times New Roman" w:hAnsi="Times New Roman" w:cs="Times New Roman"/>
          <w:sz w:val="24"/>
          <w:szCs w:val="24"/>
        </w:rPr>
        <w:t>podpísaná Dohoda o vzájomnej spolupráci medzi Národnou bankou Sloven</w:t>
      </w:r>
      <w:r>
        <w:rPr>
          <w:rFonts w:ascii="Times New Roman" w:hAnsi="Times New Roman" w:cs="Times New Roman"/>
          <w:sz w:val="24"/>
          <w:szCs w:val="24"/>
        </w:rPr>
        <w:t>ska a Ministerstvom vnútra SR</w:t>
      </w:r>
      <w:r w:rsidRPr="00914C2A">
        <w:rPr>
          <w:rFonts w:ascii="Times New Roman" w:hAnsi="Times New Roman" w:cs="Times New Roman"/>
          <w:sz w:val="24"/>
          <w:szCs w:val="24"/>
        </w:rPr>
        <w:t>, ktorej gestorom je FSJ.</w:t>
      </w:r>
    </w:p>
    <w:p w14:paraId="55835D26" w14:textId="77777777" w:rsidR="00746E28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B17">
        <w:rPr>
          <w:rFonts w:ascii="Times New Roman" w:hAnsi="Times New Roman" w:cs="Times New Roman"/>
          <w:sz w:val="24"/>
          <w:szCs w:val="24"/>
        </w:rPr>
        <w:t xml:space="preserve">FSJ </w:t>
      </w:r>
      <w:r>
        <w:rPr>
          <w:rFonts w:ascii="Times New Roman" w:hAnsi="Times New Roman" w:cs="Times New Roman"/>
          <w:sz w:val="24"/>
          <w:szCs w:val="24"/>
        </w:rPr>
        <w:t>uskutočnila</w:t>
      </w:r>
      <w:r w:rsidRPr="00825B17">
        <w:rPr>
          <w:rFonts w:ascii="Times New Roman" w:hAnsi="Times New Roman" w:cs="Times New Roman"/>
          <w:sz w:val="24"/>
          <w:szCs w:val="24"/>
        </w:rPr>
        <w:t xml:space="preserve"> jedno stretnutie so zástupcami Sociálnej poisťovne, </w:t>
      </w:r>
      <w:r>
        <w:rPr>
          <w:rFonts w:ascii="Times New Roman" w:hAnsi="Times New Roman" w:cs="Times New Roman"/>
          <w:sz w:val="24"/>
          <w:szCs w:val="24"/>
        </w:rPr>
        <w:t>za účelom zisťovania</w:t>
      </w:r>
      <w:r w:rsidRPr="00825B17">
        <w:rPr>
          <w:rFonts w:ascii="Times New Roman" w:hAnsi="Times New Roman" w:cs="Times New Roman"/>
          <w:sz w:val="24"/>
          <w:szCs w:val="24"/>
        </w:rPr>
        <w:t xml:space="preserve"> príjmov osôb preverovaných podľa zákona </w:t>
      </w:r>
      <w:r>
        <w:rPr>
          <w:rFonts w:ascii="Times New Roman" w:hAnsi="Times New Roman" w:cs="Times New Roman"/>
          <w:sz w:val="24"/>
          <w:szCs w:val="24"/>
        </w:rPr>
        <w:t xml:space="preserve">o preukazovaní pôvodu majetku. Sporným sa javilo zisťovanie </w:t>
      </w:r>
      <w:r w:rsidRPr="00825B17">
        <w:rPr>
          <w:rFonts w:ascii="Times New Roman" w:hAnsi="Times New Roman" w:cs="Times New Roman"/>
          <w:sz w:val="24"/>
          <w:szCs w:val="24"/>
        </w:rPr>
        <w:t xml:space="preserve">príjmov za spätné obdobie (viac ako 20 rokov), ako aj </w:t>
      </w:r>
      <w:r>
        <w:rPr>
          <w:rFonts w:ascii="Times New Roman" w:hAnsi="Times New Roman" w:cs="Times New Roman"/>
          <w:sz w:val="24"/>
          <w:szCs w:val="24"/>
        </w:rPr>
        <w:t>prípady keď</w:t>
      </w:r>
      <w:r w:rsidRPr="00825B17">
        <w:rPr>
          <w:rFonts w:ascii="Times New Roman" w:hAnsi="Times New Roman" w:cs="Times New Roman"/>
          <w:sz w:val="24"/>
          <w:szCs w:val="24"/>
        </w:rPr>
        <w:t xml:space="preserve"> preverovaná osoba bola samostatne zárobkovo činná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Pr="00825B17">
        <w:rPr>
          <w:rFonts w:ascii="Times New Roman" w:hAnsi="Times New Roman" w:cs="Times New Roman"/>
          <w:sz w:val="24"/>
          <w:szCs w:val="24"/>
        </w:rPr>
        <w:t xml:space="preserve"> poberateľ dávok nemocenského, dôchodkového, resp. iného poistenia, pričom sa na stretnutí dohodol postup ako definovať zo strany polície „príjem“, „hrubý príjem“ a s tým súvi</w:t>
      </w:r>
      <w:r>
        <w:rPr>
          <w:rFonts w:ascii="Times New Roman" w:hAnsi="Times New Roman" w:cs="Times New Roman"/>
          <w:sz w:val="24"/>
          <w:szCs w:val="24"/>
        </w:rPr>
        <w:t>siaci „vymeriavací základ“.</w:t>
      </w:r>
    </w:p>
    <w:p w14:paraId="55835D27" w14:textId="77777777" w:rsidR="00746E28" w:rsidRPr="00825B17" w:rsidRDefault="00746E28" w:rsidP="00E21E4D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B17">
        <w:rPr>
          <w:rFonts w:ascii="Times New Roman" w:hAnsi="Times New Roman" w:cs="Times New Roman"/>
          <w:sz w:val="24"/>
          <w:szCs w:val="24"/>
        </w:rPr>
        <w:t>Zástupcovia FSJ sa zúčastnili na dvoch zasadnutia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25B17">
        <w:rPr>
          <w:rFonts w:ascii="Times New Roman" w:hAnsi="Times New Roman" w:cs="Times New Roman"/>
          <w:sz w:val="24"/>
          <w:szCs w:val="24"/>
        </w:rPr>
        <w:t xml:space="preserve"> Slovenskej bankovej asociácie. Cieľom účasti bolo prediskutovať s predstaviteľmi bánk zodpovedných za AML (anti money laundering) viaceré oblasti </w:t>
      </w:r>
      <w:r>
        <w:rPr>
          <w:rFonts w:ascii="Times New Roman" w:hAnsi="Times New Roman" w:cs="Times New Roman"/>
          <w:sz w:val="24"/>
          <w:szCs w:val="24"/>
        </w:rPr>
        <w:t xml:space="preserve">týkajúce sa </w:t>
      </w:r>
      <w:r w:rsidRPr="00825B17">
        <w:rPr>
          <w:rFonts w:ascii="Times New Roman" w:hAnsi="Times New Roman" w:cs="Times New Roman"/>
          <w:sz w:val="24"/>
          <w:szCs w:val="24"/>
        </w:rPr>
        <w:t>plnenia ohlasovacej povinnosti, realizácie všeobecnej spätnej väzby, prezentácie nových trendov a usmernení v oblasti legalizácie príjmov z trestnej činnosti a financovania terorizmu, nedostatkov vyskytujúcich sa v zaslaných hláseniach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5B17">
        <w:rPr>
          <w:rFonts w:ascii="Times New Roman" w:hAnsi="Times New Roman" w:cs="Times New Roman"/>
          <w:sz w:val="24"/>
          <w:szCs w:val="24"/>
        </w:rPr>
        <w:t>NOO a zistených pri výkone kontrolnej činnosti, ako aj predpokladaný vývoj v legislatívnej oblasti. Predmetom rokovania bola tiež problematika zákona č. 394/2012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5B17">
        <w:rPr>
          <w:rFonts w:ascii="Times New Roman" w:hAnsi="Times New Roman" w:cs="Times New Roman"/>
          <w:sz w:val="24"/>
          <w:szCs w:val="24"/>
        </w:rPr>
        <w:t>z. o obmedzení platieb v hotovosti ako aj problematika starostlivosti vo vzťahu ku klientovi (najmä konečný užívateľ výhod, pôvod finančných prostriedkov, účel a plánovaná po</w:t>
      </w:r>
      <w:r>
        <w:rPr>
          <w:rFonts w:ascii="Times New Roman" w:hAnsi="Times New Roman" w:cs="Times New Roman"/>
          <w:sz w:val="24"/>
          <w:szCs w:val="24"/>
        </w:rPr>
        <w:t>vaha obchodného vzťahu a pod.).</w:t>
      </w:r>
    </w:p>
    <w:p w14:paraId="55835D28" w14:textId="77777777" w:rsidR="00746E28" w:rsidRDefault="00746E28" w:rsidP="00E21E4D">
      <w:pPr>
        <w:suppressAutoHyphens/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3C5617">
        <w:rPr>
          <w:rFonts w:ascii="Times New Roman" w:hAnsi="Times New Roman" w:cs="Times New Roman"/>
          <w:sz w:val="24"/>
          <w:szCs w:val="24"/>
        </w:rPr>
        <w:t xml:space="preserve"> elimináci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5617">
        <w:rPr>
          <w:rFonts w:ascii="Times New Roman" w:hAnsi="Times New Roman" w:cs="Times New Roman"/>
          <w:sz w:val="24"/>
          <w:szCs w:val="24"/>
        </w:rPr>
        <w:t xml:space="preserve"> legalizácie príjmov z trestnej činnosti a financovania terorizmu</w:t>
      </w:r>
      <w:r>
        <w:rPr>
          <w:rFonts w:ascii="Times New Roman" w:hAnsi="Times New Roman" w:cs="Times New Roman"/>
          <w:sz w:val="24"/>
          <w:szCs w:val="24"/>
        </w:rPr>
        <w:t xml:space="preserve"> má nepochybne veľký prínos činnosť Multidisciplinárnej integrovanej skupiny odborníkov (MISO), ktorej predsedá riaditeľ FSJ. </w:t>
      </w:r>
      <w:r w:rsidRPr="008467A9">
        <w:rPr>
          <w:rFonts w:ascii="Times New Roman" w:hAnsi="Times New Roman" w:cs="Times New Roman"/>
          <w:color w:val="000000"/>
          <w:sz w:val="24"/>
          <w:szCs w:val="24"/>
        </w:rPr>
        <w:t xml:space="preserve">Členmi skupiny sú zástupcovia nasledujúcich útvarov </w:t>
      </w:r>
      <w:r w:rsidRPr="008467A9"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67A9">
        <w:rPr>
          <w:rFonts w:ascii="Times New Roman" w:hAnsi="Times New Roman" w:cs="Times New Roman"/>
          <w:color w:val="000000"/>
          <w:sz w:val="24"/>
          <w:szCs w:val="24"/>
        </w:rPr>
        <w:t>inštitúcií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23E70">
        <w:rPr>
          <w:rFonts w:ascii="Times New Roman" w:hAnsi="Times New Roman" w:cs="Times New Roman"/>
          <w:sz w:val="24"/>
          <w:szCs w:val="24"/>
          <w:lang w:eastAsia="sk-SK"/>
        </w:rPr>
        <w:t>Národn</w:t>
      </w:r>
      <w:r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Pr="00F23E70">
        <w:rPr>
          <w:rFonts w:ascii="Times New Roman" w:hAnsi="Times New Roman" w:cs="Times New Roman"/>
          <w:sz w:val="24"/>
          <w:szCs w:val="24"/>
          <w:lang w:eastAsia="sk-SK"/>
        </w:rPr>
        <w:t xml:space="preserve"> bank</w:t>
      </w:r>
      <w:r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F23E70">
        <w:rPr>
          <w:rFonts w:ascii="Times New Roman" w:hAnsi="Times New Roman" w:cs="Times New Roman"/>
          <w:sz w:val="24"/>
          <w:szCs w:val="24"/>
          <w:lang w:eastAsia="sk-SK"/>
        </w:rPr>
        <w:t xml:space="preserve"> Slovenska</w:t>
      </w:r>
      <w:r>
        <w:rPr>
          <w:rFonts w:ascii="Times New Roman" w:hAnsi="Times New Roman" w:cs="Times New Roman"/>
          <w:sz w:val="24"/>
          <w:szCs w:val="24"/>
        </w:rPr>
        <w:t>, Ministerstva financií SR, Finančného riaditeľstva SR, Generálnej prokuratúry SR, Ministerstva spravodlivosti SR, Colného riaditeľstva SR, Odboru boja proti terorizmu Prezídia PZ, národnej protidrogovej jednotky NaKA P PZ, úradu kriminálnej polície P PZ a Slovenskej informačnej služby. Úlohou MISO je zaoberať sa záležitosťami súvisiacimi s opatreniami proti praniu špinavých peňazí a financovania terorizmu.</w:t>
      </w:r>
    </w:p>
    <w:p w14:paraId="55835D29" w14:textId="77777777" w:rsidR="00746E28" w:rsidRDefault="00746E28" w:rsidP="00E21E4D">
      <w:pPr>
        <w:suppressAutoHyphens/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2013 sa konali dve riadne zasadnutia MISO (dňa 17. mája a dňa 15. októbra). Na zasadnutiach sa prioritne riešili úlohy vyplývajúce z harmonogramu plnenia opatrení prijatých v rámci Strategického plánu boja proti legalizácií príjmov z trestnej činnosti a financovania terorizmu na roky 2012 až 2016. Všetci členovia MISO sa podieľali na spracovaní dotazníka k následnej správe po 4. hodnotení Výborom expertov Rady Európy MONEYVAL, následne boli informovaní o záveroch zo 42. plenárneho zasadnutia Výboru expertov Rady Európy MONEYVAL a o postupe pre odstránenie nedostatkov vyplývajúcich z vyhodnotenia pokroku dosiahnutého SR na základe odporúčaní, vydaných uvedeným Výborom.</w:t>
      </w:r>
    </w:p>
    <w:p w14:paraId="55835D2A" w14:textId="77777777" w:rsidR="00746E28" w:rsidRPr="003C5617" w:rsidRDefault="00746E28" w:rsidP="00E21E4D">
      <w:pPr>
        <w:suppressAutoHyphens/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ostatnom zasadnutí konanom 15. októbra 2013 boli členom MISO poskytnuté podrobné informácie k národnému hodnoteniu rizika, vypracovanie ktorého je obligatórnou podmienkou pre 5. kolo hodnotiacich návštev Výboru expertov Rady Európy MONEYVAL, preto daná problematika bude predmetom zasadnutí MISO konaných v nasledujúcom roku.</w:t>
      </w:r>
    </w:p>
    <w:p w14:paraId="55835D2B" w14:textId="77777777" w:rsidR="00746E28" w:rsidRDefault="00746E28" w:rsidP="007A3EA9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35D2C" w14:textId="77777777" w:rsidR="00746E28" w:rsidRPr="003273C2" w:rsidRDefault="00746E28" w:rsidP="003273C2">
      <w:pPr>
        <w:pStyle w:val="Nadpis3"/>
        <w:jc w:val="center"/>
        <w:rPr>
          <w:rFonts w:ascii="Times New Roman" w:hAnsi="Times New Roman"/>
        </w:rPr>
      </w:pPr>
      <w:bookmarkStart w:id="76" w:name="_Toc382129845"/>
      <w:bookmarkStart w:id="77" w:name="_Toc382130007"/>
      <w:bookmarkStart w:id="78" w:name="_Toc382130538"/>
      <w:bookmarkStart w:id="79" w:name="_Toc382141497"/>
      <w:bookmarkStart w:id="80" w:name="_Toc382141694"/>
      <w:r w:rsidRPr="003273C2">
        <w:rPr>
          <w:rFonts w:ascii="Times New Roman" w:hAnsi="Times New Roman"/>
        </w:rPr>
        <w:t>KONTAKTNÉ ÚDAJE</w:t>
      </w:r>
      <w:bookmarkEnd w:id="76"/>
      <w:bookmarkEnd w:id="77"/>
      <w:bookmarkEnd w:id="78"/>
      <w:bookmarkEnd w:id="79"/>
      <w:bookmarkEnd w:id="80"/>
    </w:p>
    <w:p w14:paraId="55835D2D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E63">
        <w:rPr>
          <w:rFonts w:ascii="Times New Roman" w:hAnsi="Times New Roman" w:cs="Times New Roman"/>
          <w:b/>
          <w:bCs/>
          <w:sz w:val="24"/>
          <w:szCs w:val="24"/>
        </w:rPr>
        <w:t>ADRESA</w:t>
      </w:r>
    </w:p>
    <w:p w14:paraId="55835D2E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63">
        <w:rPr>
          <w:rFonts w:ascii="Times New Roman" w:hAnsi="Times New Roman" w:cs="Times New Roman"/>
          <w:sz w:val="24"/>
          <w:szCs w:val="24"/>
        </w:rPr>
        <w:t>Ministerstvo vnútra Slovenskej republiky</w:t>
      </w:r>
    </w:p>
    <w:p w14:paraId="55835D2F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63">
        <w:rPr>
          <w:rFonts w:ascii="Times New Roman" w:hAnsi="Times New Roman" w:cs="Times New Roman"/>
          <w:sz w:val="24"/>
          <w:szCs w:val="24"/>
        </w:rPr>
        <w:t>Prezídium Policajného zboru</w:t>
      </w:r>
    </w:p>
    <w:p w14:paraId="55835D30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63">
        <w:rPr>
          <w:rFonts w:ascii="Times New Roman" w:hAnsi="Times New Roman" w:cs="Times New Roman"/>
          <w:sz w:val="24"/>
          <w:szCs w:val="24"/>
        </w:rPr>
        <w:t>národná kriminálna agentúra</w:t>
      </w:r>
    </w:p>
    <w:p w14:paraId="55835D31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63">
        <w:rPr>
          <w:rFonts w:ascii="Times New Roman" w:hAnsi="Times New Roman" w:cs="Times New Roman"/>
          <w:sz w:val="24"/>
          <w:szCs w:val="24"/>
        </w:rPr>
        <w:t>finančná spravodajská jednotka</w:t>
      </w:r>
    </w:p>
    <w:p w14:paraId="55835D32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63">
        <w:rPr>
          <w:rFonts w:ascii="Times New Roman" w:hAnsi="Times New Roman" w:cs="Times New Roman"/>
          <w:sz w:val="24"/>
          <w:szCs w:val="24"/>
        </w:rPr>
        <w:t>Pribinova 2</w:t>
      </w:r>
    </w:p>
    <w:p w14:paraId="55835D33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63">
        <w:rPr>
          <w:rFonts w:ascii="Times New Roman" w:hAnsi="Times New Roman" w:cs="Times New Roman"/>
          <w:sz w:val="24"/>
          <w:szCs w:val="24"/>
        </w:rPr>
        <w:t>812 72 Bratislava</w:t>
      </w:r>
    </w:p>
    <w:p w14:paraId="55835D34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835D35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E63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14:paraId="55835D36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Pr="00514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94677A">
          <w:rPr>
            <w:rStyle w:val="Hypertextovprepojenie"/>
            <w:rFonts w:ascii="Times New Roman" w:hAnsi="Times New Roman"/>
            <w:sz w:val="24"/>
            <w:szCs w:val="24"/>
          </w:rPr>
          <w:t>www.minv.sk/?financna-policia</w:t>
        </w:r>
      </w:hyperlink>
    </w:p>
    <w:p w14:paraId="55835D37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3" w:history="1">
        <w:r w:rsidRPr="0094677A">
          <w:rPr>
            <w:rStyle w:val="Hypertextovprepojenie"/>
            <w:rFonts w:ascii="Times New Roman" w:hAnsi="Times New Roman"/>
            <w:sz w:val="24"/>
            <w:szCs w:val="24"/>
          </w:rPr>
          <w:t>sjfpsek@minv.sk</w:t>
        </w:r>
      </w:hyperlink>
    </w:p>
    <w:p w14:paraId="55835D38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835D39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E63">
        <w:rPr>
          <w:rFonts w:ascii="Times New Roman" w:hAnsi="Times New Roman" w:cs="Times New Roman"/>
          <w:b/>
          <w:bCs/>
          <w:sz w:val="24"/>
          <w:szCs w:val="24"/>
        </w:rPr>
        <w:t>TELEFÓN/FAX</w:t>
      </w:r>
    </w:p>
    <w:p w14:paraId="55835D3A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09610/51402</w:t>
      </w:r>
    </w:p>
    <w:p w14:paraId="55835D3B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09610/59047</w:t>
      </w:r>
    </w:p>
    <w:p w14:paraId="55835D3C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835D3D" w14:textId="77777777" w:rsidR="00746E28" w:rsidRPr="00514E63" w:rsidRDefault="00746E28" w:rsidP="00F614E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E63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KONTAKTNÉ ÚDAJE PRE OHLASOVANIE NOO</w:t>
      </w:r>
    </w:p>
    <w:p w14:paraId="55835D3E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Osobne: Račianska 45, 832 02 Bratislava</w:t>
      </w:r>
    </w:p>
    <w:p w14:paraId="55835D3F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Písomne: Finančná spravodajská jednotka, Pribinova 2, 812 72 Bratislava</w:t>
      </w:r>
    </w:p>
    <w:p w14:paraId="55835D40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Elektronicky: </w:t>
      </w:r>
      <w:hyperlink r:id="rId24" w:history="1">
        <w:r w:rsidRPr="0094677A">
          <w:rPr>
            <w:rStyle w:val="Hypertextovprepojenie"/>
            <w:rFonts w:ascii="Times New Roman" w:hAnsi="Times New Roman"/>
            <w:sz w:val="24"/>
            <w:szCs w:val="24"/>
          </w:rPr>
          <w:t>sjfpnoo@minv.sk</w:t>
        </w:r>
      </w:hyperlink>
    </w:p>
    <w:p w14:paraId="55835D41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Telefonicky: 09610/51419</w:t>
      </w:r>
    </w:p>
    <w:p w14:paraId="55835D42" w14:textId="77777777" w:rsidR="00746E28" w:rsidRDefault="00746E28" w:rsidP="00F614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Faxom: 09610/59047</w:t>
      </w:r>
    </w:p>
    <w:p w14:paraId="55835D43" w14:textId="77777777" w:rsidR="00746E28" w:rsidRPr="00E872D8" w:rsidRDefault="00746E28" w:rsidP="00F614EB">
      <w:pPr>
        <w:pStyle w:val="Odsekzoznamu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46E28" w:rsidRPr="00E872D8" w:rsidSect="009843AC">
      <w:pgSz w:w="11906" w:h="16838" w:code="9"/>
      <w:pgMar w:top="15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35D4D" w14:textId="77777777" w:rsidR="00FF73FF" w:rsidRDefault="00FF73FF" w:rsidP="00E21E4D">
      <w:pPr>
        <w:spacing w:after="0" w:line="240" w:lineRule="auto"/>
      </w:pPr>
      <w:r>
        <w:separator/>
      </w:r>
    </w:p>
  </w:endnote>
  <w:endnote w:type="continuationSeparator" w:id="0">
    <w:p w14:paraId="55835D4E" w14:textId="77777777" w:rsidR="00FF73FF" w:rsidRDefault="00FF73FF" w:rsidP="00E2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5D50" w14:textId="77777777" w:rsidR="00746E28" w:rsidRDefault="00746E28" w:rsidP="00D22260">
    <w:pPr>
      <w:pStyle w:val="Pta"/>
      <w:spacing w:after="0"/>
      <w:jc w:val="right"/>
      <w:rPr>
        <w:rFonts w:ascii="Times New Roman" w:hAnsi="Times New Roman"/>
        <w:sz w:val="24"/>
        <w:szCs w:val="24"/>
      </w:rPr>
    </w:pPr>
    <w:r w:rsidRPr="00E21E4D">
      <w:rPr>
        <w:rFonts w:ascii="Times New Roman" w:hAnsi="Times New Roman"/>
        <w:sz w:val="24"/>
        <w:szCs w:val="24"/>
      </w:rPr>
      <w:fldChar w:fldCharType="begin"/>
    </w:r>
    <w:r w:rsidRPr="00E21E4D">
      <w:rPr>
        <w:rFonts w:ascii="Times New Roman" w:hAnsi="Times New Roman"/>
        <w:sz w:val="24"/>
        <w:szCs w:val="24"/>
      </w:rPr>
      <w:instrText>PAGE   \* MERGEFORMAT</w:instrText>
    </w:r>
    <w:r w:rsidRPr="00E21E4D">
      <w:rPr>
        <w:rFonts w:ascii="Times New Roman" w:hAnsi="Times New Roman"/>
        <w:sz w:val="24"/>
        <w:szCs w:val="24"/>
      </w:rPr>
      <w:fldChar w:fldCharType="separate"/>
    </w:r>
    <w:r w:rsidR="00E74483">
      <w:rPr>
        <w:rFonts w:ascii="Times New Roman" w:hAnsi="Times New Roman"/>
        <w:noProof/>
        <w:sz w:val="24"/>
        <w:szCs w:val="24"/>
      </w:rPr>
      <w:t>25</w:t>
    </w:r>
    <w:r w:rsidRPr="00E21E4D">
      <w:rPr>
        <w:rFonts w:ascii="Times New Roman" w:hAnsi="Times New Roman"/>
        <w:sz w:val="24"/>
        <w:szCs w:val="24"/>
      </w:rPr>
      <w:fldChar w:fldCharType="end"/>
    </w:r>
  </w:p>
  <w:p w14:paraId="55835D51" w14:textId="77777777" w:rsidR="00746E28" w:rsidRPr="00E21E4D" w:rsidRDefault="00746E28" w:rsidP="00D22260">
    <w:pPr>
      <w:pStyle w:val="Pta"/>
      <w:spacing w:after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5D4B" w14:textId="77777777" w:rsidR="00FF73FF" w:rsidRDefault="00FF73FF" w:rsidP="00E21E4D">
      <w:pPr>
        <w:spacing w:after="0" w:line="240" w:lineRule="auto"/>
      </w:pPr>
      <w:r>
        <w:separator/>
      </w:r>
    </w:p>
  </w:footnote>
  <w:footnote w:type="continuationSeparator" w:id="0">
    <w:p w14:paraId="55835D4C" w14:textId="77777777" w:rsidR="00FF73FF" w:rsidRDefault="00FF73FF" w:rsidP="00E2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5D4F" w14:textId="77777777" w:rsidR="00746E28" w:rsidRPr="00703BD1" w:rsidRDefault="00746E28" w:rsidP="009843AC">
    <w:pPr>
      <w:pStyle w:val="Hlavika"/>
      <w:tabs>
        <w:tab w:val="clear" w:pos="4536"/>
        <w:tab w:val="clear" w:pos="9072"/>
        <w:tab w:val="left" w:pos="2179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5D52" w14:textId="26D64198" w:rsidR="00746E28" w:rsidRDefault="00E74483" w:rsidP="00E12EA5">
    <w:pPr>
      <w:pStyle w:val="Hlavika"/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55835D56" wp14:editId="19DBF86E">
          <wp:simplePos x="0" y="0"/>
          <wp:positionH relativeFrom="column">
            <wp:posOffset>155575</wp:posOffset>
          </wp:positionH>
          <wp:positionV relativeFrom="paragraph">
            <wp:posOffset>-313055</wp:posOffset>
          </wp:positionV>
          <wp:extent cx="981075" cy="1133475"/>
          <wp:effectExtent l="0" t="0" r="952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5D53" w14:textId="77777777" w:rsidR="00746E28" w:rsidRPr="00E12EA5" w:rsidRDefault="00746E28" w:rsidP="00E12EA5">
    <w:pPr>
      <w:pStyle w:val="Hlavika"/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12EA5">
      <w:rPr>
        <w:rFonts w:ascii="Times New Roman" w:hAnsi="Times New Roman"/>
        <w:b/>
        <w:sz w:val="28"/>
        <w:szCs w:val="28"/>
      </w:rPr>
      <w:t>Prezídium Policajného zboru</w:t>
    </w:r>
  </w:p>
  <w:p w14:paraId="55835D54" w14:textId="77777777" w:rsidR="00746E28" w:rsidRPr="0010306F" w:rsidRDefault="00746E28" w:rsidP="00E12EA5">
    <w:pPr>
      <w:pStyle w:val="Hlavik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0306F">
      <w:rPr>
        <w:rFonts w:ascii="Times New Roman" w:hAnsi="Times New Roman"/>
        <w:sz w:val="24"/>
        <w:szCs w:val="24"/>
      </w:rPr>
      <w:t>národná kriminálna agentúra</w:t>
    </w:r>
  </w:p>
  <w:p w14:paraId="55835D55" w14:textId="77777777" w:rsidR="00746E28" w:rsidRPr="0010306F" w:rsidRDefault="00746E28" w:rsidP="00E12EA5">
    <w:pPr>
      <w:pStyle w:val="Hlavika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0306F">
      <w:rPr>
        <w:rFonts w:ascii="Times New Roman" w:hAnsi="Times New Roman"/>
        <w:sz w:val="24"/>
        <w:szCs w:val="24"/>
      </w:rPr>
      <w:t>finančná spravodajská jednotka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E67"/>
    <w:multiLevelType w:val="hybridMultilevel"/>
    <w:tmpl w:val="9AEA83A6"/>
    <w:lvl w:ilvl="0" w:tplc="1404274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814"/>
    <w:multiLevelType w:val="hybridMultilevel"/>
    <w:tmpl w:val="E23CC7D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5B15"/>
    <w:multiLevelType w:val="hybridMultilevel"/>
    <w:tmpl w:val="E7DEDF3A"/>
    <w:lvl w:ilvl="0" w:tplc="03CAB46E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3">
    <w:nsid w:val="2BA76255"/>
    <w:multiLevelType w:val="hybridMultilevel"/>
    <w:tmpl w:val="3E3AA86C"/>
    <w:lvl w:ilvl="0" w:tplc="4300E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94334"/>
    <w:multiLevelType w:val="hybridMultilevel"/>
    <w:tmpl w:val="E58CB5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7A47C6"/>
    <w:multiLevelType w:val="hybridMultilevel"/>
    <w:tmpl w:val="1158D1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A7E90"/>
    <w:multiLevelType w:val="hybridMultilevel"/>
    <w:tmpl w:val="5EF66A3C"/>
    <w:lvl w:ilvl="0" w:tplc="03CAB46E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7">
    <w:nsid w:val="43026A0C"/>
    <w:multiLevelType w:val="hybridMultilevel"/>
    <w:tmpl w:val="4762CE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67020"/>
    <w:multiLevelType w:val="hybridMultilevel"/>
    <w:tmpl w:val="090ED79E"/>
    <w:lvl w:ilvl="0" w:tplc="17649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60A7F"/>
    <w:multiLevelType w:val="hybridMultilevel"/>
    <w:tmpl w:val="516ADADC"/>
    <w:lvl w:ilvl="0" w:tplc="B8B68E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90678EE"/>
    <w:multiLevelType w:val="hybridMultilevel"/>
    <w:tmpl w:val="2DFED9B0"/>
    <w:lvl w:ilvl="0" w:tplc="03CAB4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40B61"/>
    <w:multiLevelType w:val="hybridMultilevel"/>
    <w:tmpl w:val="97AE59A2"/>
    <w:lvl w:ilvl="0" w:tplc="03CAB46E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2">
    <w:nsid w:val="60E27C8E"/>
    <w:multiLevelType w:val="hybridMultilevel"/>
    <w:tmpl w:val="5718A230"/>
    <w:lvl w:ilvl="0" w:tplc="6BF2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6F9D"/>
    <w:multiLevelType w:val="hybridMultilevel"/>
    <w:tmpl w:val="41AE06F2"/>
    <w:lvl w:ilvl="0" w:tplc="03CAB46E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4">
    <w:nsid w:val="73124123"/>
    <w:multiLevelType w:val="hybridMultilevel"/>
    <w:tmpl w:val="45A8914A"/>
    <w:lvl w:ilvl="0" w:tplc="03CAB4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8"/>
    <w:rsid w:val="000109D2"/>
    <w:rsid w:val="00011093"/>
    <w:rsid w:val="00011833"/>
    <w:rsid w:val="00016D56"/>
    <w:rsid w:val="00033952"/>
    <w:rsid w:val="000435D1"/>
    <w:rsid w:val="00044535"/>
    <w:rsid w:val="000642C8"/>
    <w:rsid w:val="000A7786"/>
    <w:rsid w:val="000B3669"/>
    <w:rsid w:val="000C1ADF"/>
    <w:rsid w:val="000C6C6F"/>
    <w:rsid w:val="000F1F2D"/>
    <w:rsid w:val="0010306F"/>
    <w:rsid w:val="00103AD4"/>
    <w:rsid w:val="00104B3B"/>
    <w:rsid w:val="001156A6"/>
    <w:rsid w:val="001270CC"/>
    <w:rsid w:val="001436AA"/>
    <w:rsid w:val="0016496B"/>
    <w:rsid w:val="00167FD7"/>
    <w:rsid w:val="00170EFB"/>
    <w:rsid w:val="00172F8F"/>
    <w:rsid w:val="001904CD"/>
    <w:rsid w:val="001A711C"/>
    <w:rsid w:val="001A79D8"/>
    <w:rsid w:val="001B06B2"/>
    <w:rsid w:val="001E6F09"/>
    <w:rsid w:val="001F6691"/>
    <w:rsid w:val="0020150F"/>
    <w:rsid w:val="00210348"/>
    <w:rsid w:val="002122D3"/>
    <w:rsid w:val="002137BF"/>
    <w:rsid w:val="002163FB"/>
    <w:rsid w:val="002258BC"/>
    <w:rsid w:val="00243AD1"/>
    <w:rsid w:val="00244681"/>
    <w:rsid w:val="002529A5"/>
    <w:rsid w:val="00257297"/>
    <w:rsid w:val="002841AB"/>
    <w:rsid w:val="002B004D"/>
    <w:rsid w:val="002E76AB"/>
    <w:rsid w:val="00304641"/>
    <w:rsid w:val="003168C9"/>
    <w:rsid w:val="003238FF"/>
    <w:rsid w:val="003273C2"/>
    <w:rsid w:val="0034739D"/>
    <w:rsid w:val="003568B3"/>
    <w:rsid w:val="00377935"/>
    <w:rsid w:val="00380837"/>
    <w:rsid w:val="00380A0A"/>
    <w:rsid w:val="00384948"/>
    <w:rsid w:val="00386672"/>
    <w:rsid w:val="00391278"/>
    <w:rsid w:val="003A0C6D"/>
    <w:rsid w:val="003A5CAE"/>
    <w:rsid w:val="003B4B21"/>
    <w:rsid w:val="003C5617"/>
    <w:rsid w:val="003D5222"/>
    <w:rsid w:val="0040662F"/>
    <w:rsid w:val="004103D6"/>
    <w:rsid w:val="004110C8"/>
    <w:rsid w:val="004176B0"/>
    <w:rsid w:val="00427ACF"/>
    <w:rsid w:val="004501C6"/>
    <w:rsid w:val="0045056D"/>
    <w:rsid w:val="0045747F"/>
    <w:rsid w:val="004819C8"/>
    <w:rsid w:val="004820F5"/>
    <w:rsid w:val="00494CE9"/>
    <w:rsid w:val="00494F66"/>
    <w:rsid w:val="004A5218"/>
    <w:rsid w:val="004A752D"/>
    <w:rsid w:val="004A7F3F"/>
    <w:rsid w:val="004B3D27"/>
    <w:rsid w:val="004B4C5C"/>
    <w:rsid w:val="004D0352"/>
    <w:rsid w:val="004F78BC"/>
    <w:rsid w:val="005050AF"/>
    <w:rsid w:val="00512728"/>
    <w:rsid w:val="00514E63"/>
    <w:rsid w:val="00525736"/>
    <w:rsid w:val="00534E15"/>
    <w:rsid w:val="00540506"/>
    <w:rsid w:val="00552AC2"/>
    <w:rsid w:val="0057495C"/>
    <w:rsid w:val="00581FAA"/>
    <w:rsid w:val="005B5D3A"/>
    <w:rsid w:val="005D3229"/>
    <w:rsid w:val="005E57C5"/>
    <w:rsid w:val="005F4D92"/>
    <w:rsid w:val="005F654B"/>
    <w:rsid w:val="006038C4"/>
    <w:rsid w:val="00614B56"/>
    <w:rsid w:val="00625E69"/>
    <w:rsid w:val="00633DFA"/>
    <w:rsid w:val="00651480"/>
    <w:rsid w:val="00652184"/>
    <w:rsid w:val="006848E4"/>
    <w:rsid w:val="00691777"/>
    <w:rsid w:val="0069366D"/>
    <w:rsid w:val="0069769F"/>
    <w:rsid w:val="006A223F"/>
    <w:rsid w:val="006A2E82"/>
    <w:rsid w:val="006A5F25"/>
    <w:rsid w:val="006B1E40"/>
    <w:rsid w:val="006B2520"/>
    <w:rsid w:val="006D1186"/>
    <w:rsid w:val="006D45F7"/>
    <w:rsid w:val="00703BD1"/>
    <w:rsid w:val="007156E9"/>
    <w:rsid w:val="00731CB0"/>
    <w:rsid w:val="00740D3B"/>
    <w:rsid w:val="00746E28"/>
    <w:rsid w:val="00761169"/>
    <w:rsid w:val="00765458"/>
    <w:rsid w:val="00781906"/>
    <w:rsid w:val="00781F3C"/>
    <w:rsid w:val="00786728"/>
    <w:rsid w:val="007A3EA9"/>
    <w:rsid w:val="007B208A"/>
    <w:rsid w:val="007D20B2"/>
    <w:rsid w:val="007E0A20"/>
    <w:rsid w:val="007E1C80"/>
    <w:rsid w:val="007E250F"/>
    <w:rsid w:val="008112AB"/>
    <w:rsid w:val="00812D7A"/>
    <w:rsid w:val="00814A2D"/>
    <w:rsid w:val="00822986"/>
    <w:rsid w:val="00825B17"/>
    <w:rsid w:val="00837A5A"/>
    <w:rsid w:val="008440D6"/>
    <w:rsid w:val="008467A9"/>
    <w:rsid w:val="008534BC"/>
    <w:rsid w:val="008635FD"/>
    <w:rsid w:val="00870965"/>
    <w:rsid w:val="00891BCC"/>
    <w:rsid w:val="008A3A96"/>
    <w:rsid w:val="008A6766"/>
    <w:rsid w:val="008A7CD9"/>
    <w:rsid w:val="008B352D"/>
    <w:rsid w:val="008E2143"/>
    <w:rsid w:val="008F5976"/>
    <w:rsid w:val="009070E0"/>
    <w:rsid w:val="00914C2A"/>
    <w:rsid w:val="0091725B"/>
    <w:rsid w:val="009407D4"/>
    <w:rsid w:val="009429EC"/>
    <w:rsid w:val="0094677A"/>
    <w:rsid w:val="00962ECA"/>
    <w:rsid w:val="009715B7"/>
    <w:rsid w:val="009843AC"/>
    <w:rsid w:val="009938FD"/>
    <w:rsid w:val="009A42C0"/>
    <w:rsid w:val="009A564E"/>
    <w:rsid w:val="009C0E8D"/>
    <w:rsid w:val="009E636E"/>
    <w:rsid w:val="00A03638"/>
    <w:rsid w:val="00A469A9"/>
    <w:rsid w:val="00A55298"/>
    <w:rsid w:val="00A70A9E"/>
    <w:rsid w:val="00A71C13"/>
    <w:rsid w:val="00A721C6"/>
    <w:rsid w:val="00A738DD"/>
    <w:rsid w:val="00A73C08"/>
    <w:rsid w:val="00A84CC3"/>
    <w:rsid w:val="00AB340C"/>
    <w:rsid w:val="00AB38D6"/>
    <w:rsid w:val="00AC3853"/>
    <w:rsid w:val="00AC3A1A"/>
    <w:rsid w:val="00AC6F38"/>
    <w:rsid w:val="00AD22F5"/>
    <w:rsid w:val="00AD6862"/>
    <w:rsid w:val="00AD71C1"/>
    <w:rsid w:val="00AE6614"/>
    <w:rsid w:val="00B102BD"/>
    <w:rsid w:val="00B10C3F"/>
    <w:rsid w:val="00B248BB"/>
    <w:rsid w:val="00B26C91"/>
    <w:rsid w:val="00B27D0A"/>
    <w:rsid w:val="00B46F9A"/>
    <w:rsid w:val="00B56051"/>
    <w:rsid w:val="00B62012"/>
    <w:rsid w:val="00B83D1E"/>
    <w:rsid w:val="00B8543A"/>
    <w:rsid w:val="00BC48D4"/>
    <w:rsid w:val="00BD1A87"/>
    <w:rsid w:val="00BD3660"/>
    <w:rsid w:val="00BD56FF"/>
    <w:rsid w:val="00C05486"/>
    <w:rsid w:val="00C21CCF"/>
    <w:rsid w:val="00C27FA2"/>
    <w:rsid w:val="00C30258"/>
    <w:rsid w:val="00C356EC"/>
    <w:rsid w:val="00C456D6"/>
    <w:rsid w:val="00C46711"/>
    <w:rsid w:val="00C53783"/>
    <w:rsid w:val="00C53DB2"/>
    <w:rsid w:val="00C72111"/>
    <w:rsid w:val="00C848C1"/>
    <w:rsid w:val="00C91FF5"/>
    <w:rsid w:val="00CA7A8B"/>
    <w:rsid w:val="00CC1A0C"/>
    <w:rsid w:val="00CC255C"/>
    <w:rsid w:val="00CD1D65"/>
    <w:rsid w:val="00CD2E9B"/>
    <w:rsid w:val="00CD6DF0"/>
    <w:rsid w:val="00CD707A"/>
    <w:rsid w:val="00CE6EBE"/>
    <w:rsid w:val="00D1282E"/>
    <w:rsid w:val="00D22260"/>
    <w:rsid w:val="00D22E99"/>
    <w:rsid w:val="00D306BB"/>
    <w:rsid w:val="00D3632C"/>
    <w:rsid w:val="00D404A8"/>
    <w:rsid w:val="00D54A7C"/>
    <w:rsid w:val="00D60F2D"/>
    <w:rsid w:val="00D64D78"/>
    <w:rsid w:val="00D75534"/>
    <w:rsid w:val="00DA3D63"/>
    <w:rsid w:val="00DB005A"/>
    <w:rsid w:val="00DC2056"/>
    <w:rsid w:val="00DC729D"/>
    <w:rsid w:val="00DE380E"/>
    <w:rsid w:val="00DE679E"/>
    <w:rsid w:val="00DF4F16"/>
    <w:rsid w:val="00DF6C79"/>
    <w:rsid w:val="00E03231"/>
    <w:rsid w:val="00E03B03"/>
    <w:rsid w:val="00E0775A"/>
    <w:rsid w:val="00E10530"/>
    <w:rsid w:val="00E12EA5"/>
    <w:rsid w:val="00E21E4D"/>
    <w:rsid w:val="00E56B9C"/>
    <w:rsid w:val="00E74483"/>
    <w:rsid w:val="00E872D8"/>
    <w:rsid w:val="00EB48B4"/>
    <w:rsid w:val="00EB6EB4"/>
    <w:rsid w:val="00ED307A"/>
    <w:rsid w:val="00ED7700"/>
    <w:rsid w:val="00EE3DDC"/>
    <w:rsid w:val="00EF1186"/>
    <w:rsid w:val="00EF1E7C"/>
    <w:rsid w:val="00EF2493"/>
    <w:rsid w:val="00F11409"/>
    <w:rsid w:val="00F23E70"/>
    <w:rsid w:val="00F2794C"/>
    <w:rsid w:val="00F406E1"/>
    <w:rsid w:val="00F43DE2"/>
    <w:rsid w:val="00F614EB"/>
    <w:rsid w:val="00F668A0"/>
    <w:rsid w:val="00F66BC1"/>
    <w:rsid w:val="00F7496C"/>
    <w:rsid w:val="00F87201"/>
    <w:rsid w:val="00F97D6C"/>
    <w:rsid w:val="00FA2A54"/>
    <w:rsid w:val="00FA6B31"/>
    <w:rsid w:val="00FB230A"/>
    <w:rsid w:val="00FB3478"/>
    <w:rsid w:val="00FF0137"/>
    <w:rsid w:val="00FF2E7E"/>
    <w:rsid w:val="00FF335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83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841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046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3273C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3273C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  <w:lang w:eastAsia="en-US"/>
    </w:rPr>
  </w:style>
  <w:style w:type="paragraph" w:styleId="Odsekzoznamu">
    <w:name w:val="List Paragraph"/>
    <w:basedOn w:val="Normlny"/>
    <w:uiPriority w:val="99"/>
    <w:qFormat/>
    <w:rsid w:val="006B2520"/>
    <w:pPr>
      <w:ind w:left="720"/>
    </w:pPr>
  </w:style>
  <w:style w:type="table" w:styleId="Mriekatabuky">
    <w:name w:val="Table Grid"/>
    <w:basedOn w:val="Normlnatabuka"/>
    <w:uiPriority w:val="99"/>
    <w:rsid w:val="00CD70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891BC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03B03"/>
    <w:pPr>
      <w:spacing w:after="0" w:line="240" w:lineRule="auto"/>
    </w:pPr>
    <w:rPr>
      <w:rFonts w:ascii="Tahoma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E03B03"/>
    <w:rPr>
      <w:rFonts w:ascii="Tahoma" w:hAnsi="Tahoma"/>
      <w:sz w:val="16"/>
    </w:rPr>
  </w:style>
  <w:style w:type="paragraph" w:styleId="Normlnywebov">
    <w:name w:val="Normal (Web)"/>
    <w:basedOn w:val="Normlny"/>
    <w:uiPriority w:val="99"/>
    <w:rsid w:val="004A5218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99"/>
    <w:locked/>
    <w:rsid w:val="00625E69"/>
  </w:style>
  <w:style w:type="paragraph" w:styleId="Obsah2">
    <w:name w:val="toc 2"/>
    <w:basedOn w:val="Normlny"/>
    <w:next w:val="Normlny"/>
    <w:autoRedefine/>
    <w:uiPriority w:val="99"/>
    <w:locked/>
    <w:rsid w:val="00EF1186"/>
    <w:pPr>
      <w:tabs>
        <w:tab w:val="right" w:leader="dot" w:pos="9060"/>
      </w:tabs>
      <w:ind w:left="540" w:hanging="320"/>
    </w:pPr>
  </w:style>
  <w:style w:type="paragraph" w:styleId="Obsah3">
    <w:name w:val="toc 3"/>
    <w:basedOn w:val="Normlny"/>
    <w:next w:val="Normlny"/>
    <w:autoRedefine/>
    <w:uiPriority w:val="99"/>
    <w:locked/>
    <w:rsid w:val="00625E69"/>
    <w:pPr>
      <w:ind w:left="440"/>
    </w:pPr>
  </w:style>
  <w:style w:type="paragraph" w:styleId="Hlavika">
    <w:name w:val="header"/>
    <w:basedOn w:val="Normlny"/>
    <w:link w:val="HlavikaChar"/>
    <w:uiPriority w:val="99"/>
    <w:rsid w:val="00E21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lavikaChar">
    <w:name w:val="Hlavička Char"/>
    <w:link w:val="Hlavika"/>
    <w:uiPriority w:val="99"/>
    <w:locked/>
    <w:rsid w:val="00E21E4D"/>
    <w:rPr>
      <w:lang w:eastAsia="en-US"/>
    </w:rPr>
  </w:style>
  <w:style w:type="paragraph" w:styleId="Pta">
    <w:name w:val="footer"/>
    <w:basedOn w:val="Normlny"/>
    <w:link w:val="PtaChar"/>
    <w:uiPriority w:val="99"/>
    <w:rsid w:val="00E21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taChar">
    <w:name w:val="Päta Char"/>
    <w:link w:val="Pta"/>
    <w:uiPriority w:val="99"/>
    <w:locked/>
    <w:rsid w:val="00E21E4D"/>
    <w:rPr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A70A9E"/>
    <w:pPr>
      <w:keepLines/>
      <w:spacing w:before="480" w:after="0"/>
      <w:outlineLvl w:val="9"/>
    </w:pPr>
    <w:rPr>
      <w:color w:val="365F91"/>
      <w:kern w:val="0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841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046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3273C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3273C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  <w:lang w:eastAsia="en-US"/>
    </w:rPr>
  </w:style>
  <w:style w:type="paragraph" w:styleId="Odsekzoznamu">
    <w:name w:val="List Paragraph"/>
    <w:basedOn w:val="Normlny"/>
    <w:uiPriority w:val="99"/>
    <w:qFormat/>
    <w:rsid w:val="006B2520"/>
    <w:pPr>
      <w:ind w:left="720"/>
    </w:pPr>
  </w:style>
  <w:style w:type="table" w:styleId="Mriekatabuky">
    <w:name w:val="Table Grid"/>
    <w:basedOn w:val="Normlnatabuka"/>
    <w:uiPriority w:val="99"/>
    <w:rsid w:val="00CD70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891BC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03B03"/>
    <w:pPr>
      <w:spacing w:after="0" w:line="240" w:lineRule="auto"/>
    </w:pPr>
    <w:rPr>
      <w:rFonts w:ascii="Tahoma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E03B03"/>
    <w:rPr>
      <w:rFonts w:ascii="Tahoma" w:hAnsi="Tahoma"/>
      <w:sz w:val="16"/>
    </w:rPr>
  </w:style>
  <w:style w:type="paragraph" w:styleId="Normlnywebov">
    <w:name w:val="Normal (Web)"/>
    <w:basedOn w:val="Normlny"/>
    <w:uiPriority w:val="99"/>
    <w:rsid w:val="004A5218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99"/>
    <w:locked/>
    <w:rsid w:val="00625E69"/>
  </w:style>
  <w:style w:type="paragraph" w:styleId="Obsah2">
    <w:name w:val="toc 2"/>
    <w:basedOn w:val="Normlny"/>
    <w:next w:val="Normlny"/>
    <w:autoRedefine/>
    <w:uiPriority w:val="99"/>
    <w:locked/>
    <w:rsid w:val="00EF1186"/>
    <w:pPr>
      <w:tabs>
        <w:tab w:val="right" w:leader="dot" w:pos="9060"/>
      </w:tabs>
      <w:ind w:left="540" w:hanging="320"/>
    </w:pPr>
  </w:style>
  <w:style w:type="paragraph" w:styleId="Obsah3">
    <w:name w:val="toc 3"/>
    <w:basedOn w:val="Normlny"/>
    <w:next w:val="Normlny"/>
    <w:autoRedefine/>
    <w:uiPriority w:val="99"/>
    <w:locked/>
    <w:rsid w:val="00625E69"/>
    <w:pPr>
      <w:ind w:left="440"/>
    </w:pPr>
  </w:style>
  <w:style w:type="paragraph" w:styleId="Hlavika">
    <w:name w:val="header"/>
    <w:basedOn w:val="Normlny"/>
    <w:link w:val="HlavikaChar"/>
    <w:uiPriority w:val="99"/>
    <w:rsid w:val="00E21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lavikaChar">
    <w:name w:val="Hlavička Char"/>
    <w:link w:val="Hlavika"/>
    <w:uiPriority w:val="99"/>
    <w:locked/>
    <w:rsid w:val="00E21E4D"/>
    <w:rPr>
      <w:lang w:eastAsia="en-US"/>
    </w:rPr>
  </w:style>
  <w:style w:type="paragraph" w:styleId="Pta">
    <w:name w:val="footer"/>
    <w:basedOn w:val="Normlny"/>
    <w:link w:val="PtaChar"/>
    <w:uiPriority w:val="99"/>
    <w:rsid w:val="00E21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taChar">
    <w:name w:val="Päta Char"/>
    <w:link w:val="Pta"/>
    <w:uiPriority w:val="99"/>
    <w:locked/>
    <w:rsid w:val="00E21E4D"/>
    <w:rPr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A70A9E"/>
    <w:pPr>
      <w:keepLines/>
      <w:spacing w:before="480" w:after="0"/>
      <w:outlineLvl w:val="9"/>
    </w:pPr>
    <w:rPr>
      <w:color w:val="365F91"/>
      <w:kern w:val="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mailto:sjfpnoo@minv.s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mailto:sjfpsek@minv.s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jfpopm@minv.sk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minv.sk/?financna-polic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rgbClr val="00B050"/>
            </a:solidFill>
            <a:ln w="19056"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2686</c:v>
                </c:pt>
                <c:pt idx="1">
                  <c:v>2470</c:v>
                </c:pt>
                <c:pt idx="2">
                  <c:v>2982</c:v>
                </c:pt>
                <c:pt idx="3">
                  <c:v>3650</c:v>
                </c:pt>
                <c:pt idx="4">
                  <c:v>3886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8258176"/>
        <c:axId val="58260864"/>
      </c:barChart>
      <c:catAx>
        <c:axId val="5825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58260864"/>
        <c:crosses val="autoZero"/>
        <c:auto val="1"/>
        <c:lblAlgn val="ctr"/>
        <c:lblOffset val="100"/>
        <c:noMultiLvlLbl val="0"/>
      </c:catAx>
      <c:valAx>
        <c:axId val="5826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258176"/>
        <c:crosses val="autoZero"/>
        <c:crossBetween val="between"/>
      </c:valAx>
      <c:spPr>
        <a:noFill/>
        <a:ln w="25408">
          <a:noFill/>
        </a:ln>
      </c:spPr>
    </c:plotArea>
    <c:plotVisOnly val="1"/>
    <c:dispBlanksAs val="gap"/>
    <c:showDLblsOverMax val="0"/>
  </c:chart>
  <c:spPr>
    <a:noFill/>
    <a:ln w="25408">
      <a:solidFill>
        <a:schemeClr val="bg1">
          <a:lumMod val="50000"/>
        </a:scheme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695"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695"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12695"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 w="12695"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 w="12695"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12695"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695">
                <a:solidFill>
                  <a:schemeClr val="tx1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695">
                <a:solidFill>
                  <a:schemeClr val="tx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24EEF8"/>
              </a:solidFill>
              <a:ln w="12695">
                <a:solidFill>
                  <a:schemeClr val="tx1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E109A3"/>
              </a:solidFill>
              <a:ln w="12695">
                <a:solidFill>
                  <a:schemeClr val="tx1"/>
                </a:solidFill>
              </a:ln>
            </c:spPr>
          </c:dPt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Hárok1!$A$2:$A$11</c:f>
              <c:strCache>
                <c:ptCount val="10"/>
                <c:pt idx="0">
                  <c:v>Maďarsko </c:v>
                </c:pt>
                <c:pt idx="1">
                  <c:v>Česká republika</c:v>
                </c:pt>
                <c:pt idx="2">
                  <c:v>Rakúsko</c:v>
                </c:pt>
                <c:pt idx="3">
                  <c:v>Poľsko </c:v>
                </c:pt>
                <c:pt idx="4">
                  <c:v>Luxembursko</c:v>
                </c:pt>
                <c:pt idx="5">
                  <c:v>Lotyšsko</c:v>
                </c:pt>
                <c:pt idx="6">
                  <c:v>Nemecko</c:v>
                </c:pt>
                <c:pt idx="7">
                  <c:v>Francúzsko</c:v>
                </c:pt>
                <c:pt idx="8">
                  <c:v>Anglicko</c:v>
                </c:pt>
                <c:pt idx="9">
                  <c:v>Litva</c:v>
                </c:pt>
              </c:strCache>
            </c:strRef>
          </c:cat>
          <c:val>
            <c:numRef>
              <c:f>Hárok1!$B$2:$B$11</c:f>
              <c:numCache>
                <c:formatCode>General</c:formatCode>
                <c:ptCount val="10"/>
                <c:pt idx="0">
                  <c:v>54</c:v>
                </c:pt>
                <c:pt idx="1">
                  <c:v>48</c:v>
                </c:pt>
                <c:pt idx="2">
                  <c:v>15</c:v>
                </c:pt>
                <c:pt idx="3">
                  <c:v>13</c:v>
                </c:pt>
                <c:pt idx="4">
                  <c:v>13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33600"/>
        <c:axId val="58235136"/>
      </c:barChart>
      <c:catAx>
        <c:axId val="5823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58235136"/>
        <c:crosses val="autoZero"/>
        <c:auto val="1"/>
        <c:lblAlgn val="ctr"/>
        <c:lblOffset val="100"/>
        <c:noMultiLvlLbl val="0"/>
      </c:catAx>
      <c:valAx>
        <c:axId val="5823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233600"/>
        <c:crosses val="autoZero"/>
        <c:crossBetween val="between"/>
      </c:valAx>
      <c:spPr>
        <a:noFill/>
        <a:ln w="25390">
          <a:noFill/>
        </a:ln>
      </c:spPr>
    </c:plotArea>
    <c:plotVisOnly val="1"/>
    <c:dispBlanksAs val="gap"/>
    <c:showDLblsOverMax val="0"/>
  </c:chart>
  <c:spPr>
    <a:noFill/>
    <a:ln w="25390">
      <a:solidFill>
        <a:schemeClr val="bg1">
          <a:lumMod val="50000"/>
        </a:schemeClr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698"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12698"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  <a:ln w="12698"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698"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 w="12698"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2698"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CFC10F"/>
              </a:solidFill>
              <a:ln w="12698">
                <a:solidFill>
                  <a:schemeClr val="tx1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accent6"/>
              </a:solidFill>
              <a:ln w="12698">
                <a:solidFill>
                  <a:schemeClr val="tx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 w="12698">
                <a:solidFill>
                  <a:schemeClr val="tx1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12698">
                <a:solidFill>
                  <a:schemeClr val="tx1"/>
                </a:solidFill>
              </a:ln>
            </c:spPr>
          </c:dPt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Hárok1!$A$2:$A$11</c:f>
              <c:strCache>
                <c:ptCount val="10"/>
                <c:pt idx="0">
                  <c:v>Nemecko</c:v>
                </c:pt>
                <c:pt idx="1">
                  <c:v>Česká republika </c:v>
                </c:pt>
                <c:pt idx="2">
                  <c:v>Holandsko</c:v>
                </c:pt>
                <c:pt idx="3">
                  <c:v>Anglicko</c:v>
                </c:pt>
                <c:pt idx="4">
                  <c:v>Taliansko</c:v>
                </c:pt>
                <c:pt idx="5">
                  <c:v>Rakúsko</c:v>
                </c:pt>
                <c:pt idx="6">
                  <c:v>Francúzsko</c:v>
                </c:pt>
                <c:pt idx="7">
                  <c:v>Maďarsko </c:v>
                </c:pt>
                <c:pt idx="8">
                  <c:v>Poľsko</c:v>
                </c:pt>
                <c:pt idx="9">
                  <c:v>USA</c:v>
                </c:pt>
              </c:strCache>
            </c:strRef>
          </c:cat>
          <c:val>
            <c:numRef>
              <c:f>Hárok1!$B$2:$B$11</c:f>
              <c:numCache>
                <c:formatCode>General</c:formatCode>
                <c:ptCount val="10"/>
                <c:pt idx="0">
                  <c:v>51</c:v>
                </c:pt>
                <c:pt idx="1">
                  <c:v>22</c:v>
                </c:pt>
                <c:pt idx="2">
                  <c:v>20</c:v>
                </c:pt>
                <c:pt idx="3">
                  <c:v>16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29984"/>
        <c:axId val="57131776"/>
      </c:barChart>
      <c:catAx>
        <c:axId val="571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57131776"/>
        <c:crosses val="autoZero"/>
        <c:auto val="1"/>
        <c:lblAlgn val="ctr"/>
        <c:lblOffset val="100"/>
        <c:noMultiLvlLbl val="0"/>
      </c:catAx>
      <c:valAx>
        <c:axId val="5713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129984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spPr>
    <a:noFill/>
    <a:ln w="25397">
      <a:solidFill>
        <a:schemeClr val="bg1">
          <a:lumMod val="50000"/>
        </a:scheme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561"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12561"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E109A3"/>
              </a:solidFill>
              <a:ln w="12561"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12561"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 w="12561"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2561"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 w="12561">
                <a:solidFill>
                  <a:schemeClr val="tx1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561">
                <a:solidFill>
                  <a:schemeClr val="tx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561">
                <a:solidFill>
                  <a:schemeClr val="tx1"/>
                </a:solidFill>
              </a:ln>
            </c:spPr>
          </c:dPt>
          <c:dLbls>
            <c:spPr>
              <a:noFill/>
              <a:ln w="2512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Hárok1!$A$2:$A$10</c:f>
              <c:strCache>
                <c:ptCount val="9"/>
                <c:pt idx="0">
                  <c:v>Maďarsko</c:v>
                </c:pt>
                <c:pt idx="1">
                  <c:v>Poľsko </c:v>
                </c:pt>
                <c:pt idx="2">
                  <c:v>Rusko</c:v>
                </c:pt>
                <c:pt idx="3">
                  <c:v>Rumunsko</c:v>
                </c:pt>
                <c:pt idx="4">
                  <c:v>Anglicko</c:v>
                </c:pt>
                <c:pt idx="5">
                  <c:v>Rakúsko</c:v>
                </c:pt>
                <c:pt idx="6">
                  <c:v>Bulharsko</c:v>
                </c:pt>
                <c:pt idx="7">
                  <c:v>Ukrajina</c:v>
                </c:pt>
                <c:pt idx="8">
                  <c:v>Taliansko</c:v>
                </c:pt>
              </c:strCache>
            </c:strRef>
          </c:cat>
          <c:val>
            <c:numRef>
              <c:f>Hárok1!$B$2:$B$10</c:f>
              <c:numCache>
                <c:formatCode>General</c:formatCode>
                <c:ptCount val="9"/>
                <c:pt idx="0">
                  <c:v>78</c:v>
                </c:pt>
                <c:pt idx="1">
                  <c:v>14</c:v>
                </c:pt>
                <c:pt idx="2">
                  <c:v>10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091968"/>
        <c:axId val="57093504"/>
      </c:barChart>
      <c:catAx>
        <c:axId val="570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57093504"/>
        <c:crosses val="autoZero"/>
        <c:auto val="1"/>
        <c:lblAlgn val="ctr"/>
        <c:lblOffset val="100"/>
        <c:noMultiLvlLbl val="0"/>
      </c:catAx>
      <c:valAx>
        <c:axId val="5709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091968"/>
        <c:crosses val="autoZero"/>
        <c:crossBetween val="between"/>
      </c:valAx>
      <c:spPr>
        <a:noFill/>
        <a:ln w="25121">
          <a:noFill/>
        </a:ln>
      </c:spPr>
    </c:plotArea>
    <c:plotVisOnly val="1"/>
    <c:dispBlanksAs val="gap"/>
    <c:showDLblsOverMax val="0"/>
  </c:chart>
  <c:spPr>
    <a:noFill/>
    <a:ln w="25121">
      <a:solidFill>
        <a:schemeClr val="bg1">
          <a:lumMod val="50000"/>
        </a:schemeClr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609341938076693E-2"/>
          <c:y val="7.0521369756201435E-2"/>
          <c:w val="0.5729317197001168"/>
          <c:h val="0.86442037755819445"/>
        </c:manualLayout>
      </c:layout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spPr>
                <a:noFill/>
                <a:ln w="25136">
                  <a:noFill/>
                </a:ln>
              </c:spPr>
              <c:txPr>
                <a:bodyPr/>
                <a:lstStyle/>
                <a:p>
                  <a:pPr>
                    <a:defRPr sz="990" b="1"/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136">
                  <a:noFill/>
                </a:ln>
              </c:spPr>
              <c:txPr>
                <a:bodyPr/>
                <a:lstStyle/>
                <a:p>
                  <a:pPr>
                    <a:defRPr sz="990" b="1"/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9841087890845E-2"/>
                  <c:y val="7.4145399448706698E-2"/>
                </c:manualLayout>
              </c:layout>
              <c:spPr>
                <a:noFill/>
                <a:ln w="25136">
                  <a:noFill/>
                </a:ln>
              </c:spPr>
              <c:txPr>
                <a:bodyPr/>
                <a:lstStyle/>
                <a:p>
                  <a:pPr>
                    <a:defRPr sz="990" b="1"/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136">
                  <a:noFill/>
                </a:ln>
              </c:spPr>
              <c:txPr>
                <a:bodyPr/>
                <a:lstStyle/>
                <a:p>
                  <a:pPr>
                    <a:defRPr sz="990" b="1"/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Hárok1!$A$2:$A$5</c:f>
              <c:strCache>
                <c:ptCount val="4"/>
                <c:pt idx="0">
                  <c:v>prešlo z roku 2011</c:v>
                </c:pt>
                <c:pt idx="1">
                  <c:v>oznámenia prijaté od občanov</c:v>
                </c:pt>
                <c:pt idx="2">
                  <c:v>vlastné podnety (útvary finančnej polície)</c:v>
                </c:pt>
                <c:pt idx="3">
                  <c:v>oznámenia prijaté od orgánov verejnej moci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52</c:v>
                </c:pt>
                <c:pt idx="1">
                  <c:v>11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36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noFill/>
    <a:ln w="25136" cmpd="sng">
      <a:solidFill>
        <a:schemeClr val="bg1">
          <a:lumMod val="50000"/>
        </a:schemeClr>
      </a:solidFill>
    </a:ln>
    <a:scene3d>
      <a:camera prst="orthographicFront"/>
      <a:lightRig rig="threePt" dir="t"/>
    </a:scene3d>
    <a:sp3d prstMaterial="matte"/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642625400991544"/>
          <c:y val="0.11806555430571179"/>
          <c:w val="0.80665242504456491"/>
          <c:h val="0.78252312210973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VÝŠKA PREPRAVOVANÝCH PEŇAŽNÝCH PROSTRIEDKOV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B80EA4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Lbls>
            <c:spPr>
              <a:noFill/>
              <a:ln w="19024">
                <a:noFill/>
              </a:ln>
            </c:spPr>
            <c:txPr>
              <a:bodyPr/>
              <a:lstStyle/>
              <a:p>
                <a:pPr>
                  <a:defRPr sz="899" b="1">
                    <a:solidFill>
                      <a:sysClr val="windowText" lastClr="000000"/>
                    </a:solidFill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125400</c:v>
                </c:pt>
                <c:pt idx="1">
                  <c:v>1241178</c:v>
                </c:pt>
                <c:pt idx="2">
                  <c:v>312637</c:v>
                </c:pt>
                <c:pt idx="3">
                  <c:v>1649419.38</c:v>
                </c:pt>
                <c:pt idx="4">
                  <c:v>1942132.56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20640"/>
        <c:axId val="51522176"/>
      </c:barChart>
      <c:catAx>
        <c:axId val="5152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51522176"/>
        <c:crosses val="autoZero"/>
        <c:auto val="1"/>
        <c:lblAlgn val="ctr"/>
        <c:lblOffset val="100"/>
        <c:noMultiLvlLbl val="0"/>
      </c:catAx>
      <c:valAx>
        <c:axId val="5152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520640"/>
        <c:crosses val="autoZero"/>
        <c:crossBetween val="between"/>
      </c:valAx>
      <c:spPr>
        <a:noFill/>
        <a:ln w="19024">
          <a:noFill/>
        </a:ln>
      </c:spPr>
    </c:plotArea>
    <c:plotVisOnly val="1"/>
    <c:dispBlanksAs val="gap"/>
    <c:showDLblsOverMax val="0"/>
  </c:chart>
  <c:spPr>
    <a:noFill/>
    <a:ln w="19024">
      <a:solidFill>
        <a:schemeClr val="bg1">
          <a:lumMod val="95000"/>
        </a:schemeClr>
      </a:solidFill>
    </a:ln>
    <a:effectLst/>
    <a:scene3d>
      <a:camera prst="orthographicFront"/>
      <a:lightRig rig="threePt" dir="t"/>
    </a:scene3d>
    <a:sp3d prstMaterial="matte"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113EE271D104184C1F7B50FBC1508" ma:contentTypeVersion="0" ma:contentTypeDescription="Umožňuje vytvoriť nový dokument." ma:contentTypeScope="" ma:versionID="a7396eb7af52a69ecdfbde0cf5b1fd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0D6E0-4340-4CEA-87F1-5560911DB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48AC0-EA5D-448A-8090-84C108ADB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AABFF-722A-4652-90A4-E07E83B4AD6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7262</Words>
  <Characters>41394</Characters>
  <Application>Microsoft Office Word</Application>
  <DocSecurity>4</DocSecurity>
  <Lines>344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FSJ rok 2013.docx</vt:lpstr>
    </vt:vector>
  </TitlesOfParts>
  <Company>MVSR</Company>
  <LinksUpToDate>false</LinksUpToDate>
  <CharactersWithSpaces>48559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FSJ rok 2013.docx</dc:title>
  <dc:creator>Slávka Gregušová</dc:creator>
  <cp:lastModifiedBy>Andrea Dvořáková</cp:lastModifiedBy>
  <cp:revision>2</cp:revision>
  <cp:lastPrinted>2014-03-09T14:36:00Z</cp:lastPrinted>
  <dcterms:created xsi:type="dcterms:W3CDTF">2014-09-10T12:12:00Z</dcterms:created>
  <dcterms:modified xsi:type="dcterms:W3CDTF">2014-09-10T12:12:00Z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0x01010060A113EE271D104184C1F7B50FBC1508</vt:lpwstr>
  </property>
</Properties>
</file>